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1B" w:rsidRPr="009A7A25" w:rsidRDefault="00370AA4" w:rsidP="00301468">
      <w:pPr>
        <w:ind w:firstLine="567"/>
        <w:rPr>
          <w:b/>
          <w:bCs/>
          <w:sz w:val="22"/>
        </w:rPr>
      </w:pPr>
      <w:r>
        <w:rPr>
          <w:b/>
          <w:bCs/>
          <w:sz w:val="22"/>
        </w:rPr>
        <w:t>1</w:t>
      </w:r>
      <w:r w:rsidR="001524D8">
        <w:rPr>
          <w:b/>
          <w:bCs/>
          <w:sz w:val="22"/>
        </w:rPr>
        <w:t>6</w:t>
      </w:r>
      <w:r>
        <w:rPr>
          <w:b/>
          <w:bCs/>
          <w:sz w:val="22"/>
        </w:rPr>
        <w:t>10004</w:t>
      </w:r>
      <w:r w:rsidR="0025763A">
        <w:rPr>
          <w:b/>
          <w:bCs/>
          <w:sz w:val="22"/>
        </w:rPr>
        <w:t>bis</w:t>
      </w:r>
    </w:p>
    <w:p w:rsidR="0097451B" w:rsidRPr="009A7A25" w:rsidRDefault="0008335F">
      <w:pPr>
        <w:pStyle w:val="Titre1"/>
        <w:rPr>
          <w:sz w:val="22"/>
          <w:szCs w:val="22"/>
        </w:rPr>
      </w:pPr>
      <w:r w:rsidRPr="0008335F">
        <w:rPr>
          <w:b w:val="0"/>
          <w:bCs w:val="0"/>
          <w:noProof/>
          <w:sz w:val="22"/>
          <w:szCs w:val="22"/>
        </w:rPr>
        <w:pict>
          <v:group id="Group 22" o:spid="_x0000_s1026" style="position:absolute;left:0;text-align:left;margin-left:-21.55pt;margin-top:-7.7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3" o:spid="_x0000_s1027" type="#_x0000_t11" style="position:absolute;left:1276;top:1315;width:262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24" o:spid="_x0000_s1028" type="#_x0000_t202" style="position:absolute;left:1666;top:1435;width:207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F4944" w:rsidRDefault="009F4944">
                    <w:pPr>
                      <w:rPr>
                        <w:b/>
                        <w:bCs/>
                        <w:sz w:val="40"/>
                      </w:rPr>
                    </w:pPr>
                    <w:r>
                      <w:rPr>
                        <w:b/>
                        <w:bCs/>
                        <w:sz w:val="40"/>
                      </w:rPr>
                      <w:t xml:space="preserve">   DCG</w:t>
                    </w:r>
                  </w:p>
                </w:txbxContent>
              </v:textbox>
            </v:shape>
            <v:shape id="Text Box 25" o:spid="_x0000_s1029" type="#_x0000_t202" style="position:absolute;left:1155;top:1170;width:51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F4944" w:rsidRDefault="009F4944">
                    <w:pPr>
                      <w:rPr>
                        <w:sz w:val="32"/>
                      </w:rPr>
                    </w:pPr>
                    <w:r>
                      <w:rPr>
                        <w:sz w:val="32"/>
                      </w:rPr>
                      <w:t>●</w:t>
                    </w:r>
                  </w:p>
                </w:txbxContent>
              </v:textbox>
            </v:shape>
            <v:shape id="Text Box 26" o:spid="_x0000_s1030" type="#_x0000_t202" style="position:absolute;left:3600;top:1170;width:525;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F4944" w:rsidRDefault="009F4944">
                    <w:pPr>
                      <w:rPr>
                        <w:sz w:val="32"/>
                      </w:rPr>
                    </w:pPr>
                    <w:r>
                      <w:rPr>
                        <w:sz w:val="32"/>
                      </w:rPr>
                      <w:t>●</w:t>
                    </w:r>
                  </w:p>
                </w:txbxContent>
              </v:textbox>
            </v:shape>
            <v:shape id="Text Box 27" o:spid="_x0000_s1031" type="#_x0000_t202" style="position:absolute;left:3600;top:1830;width:4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F4944" w:rsidRDefault="009F4944">
                    <w:pPr>
                      <w:rPr>
                        <w:sz w:val="32"/>
                      </w:rPr>
                    </w:pPr>
                    <w:r>
                      <w:rPr>
                        <w:sz w:val="32"/>
                      </w:rPr>
                      <w:t>●</w:t>
                    </w:r>
                  </w:p>
                </w:txbxContent>
              </v:textbox>
            </v:shape>
            <v:shape id="Text Box 28" o:spid="_x0000_s1032" type="#_x0000_t202" style="position:absolute;left:1170;top:1845;width:49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F4944" w:rsidRDefault="009F4944">
                    <w:pPr>
                      <w:rPr>
                        <w:sz w:val="32"/>
                      </w:rPr>
                    </w:pPr>
                    <w:r>
                      <w:rPr>
                        <w:sz w:val="32"/>
                      </w:rPr>
                      <w:t>●</w:t>
                    </w:r>
                  </w:p>
                </w:txbxContent>
              </v:textbox>
            </v:shape>
          </v:group>
        </w:pict>
      </w:r>
    </w:p>
    <w:p w:rsidR="0097451B" w:rsidRPr="009A7A25" w:rsidRDefault="0097451B">
      <w:pPr>
        <w:pStyle w:val="Titre1"/>
        <w:rPr>
          <w:sz w:val="22"/>
          <w:szCs w:val="22"/>
        </w:rPr>
      </w:pPr>
    </w:p>
    <w:p w:rsidR="0097451B" w:rsidRPr="009A7A25" w:rsidRDefault="0097451B">
      <w:pPr>
        <w:jc w:val="center"/>
        <w:rPr>
          <w:sz w:val="22"/>
        </w:rPr>
      </w:pPr>
    </w:p>
    <w:p w:rsidR="0097451B" w:rsidRDefault="0097451B" w:rsidP="00875879">
      <w:pPr>
        <w:jc w:val="right"/>
        <w:rPr>
          <w:sz w:val="22"/>
        </w:rPr>
      </w:pPr>
    </w:p>
    <w:p w:rsidR="0037024E" w:rsidRPr="009A7A25" w:rsidRDefault="0037024E">
      <w:pPr>
        <w:jc w:val="center"/>
        <w:rPr>
          <w:sz w:val="22"/>
        </w:rPr>
      </w:pPr>
    </w:p>
    <w:p w:rsidR="0097451B" w:rsidRDefault="0097451B">
      <w:pPr>
        <w:jc w:val="center"/>
        <w:rPr>
          <w:sz w:val="22"/>
        </w:rPr>
      </w:pPr>
    </w:p>
    <w:p w:rsidR="00370AA4" w:rsidRDefault="00370AA4">
      <w:pPr>
        <w:jc w:val="center"/>
        <w:rPr>
          <w:sz w:val="22"/>
        </w:rPr>
      </w:pPr>
    </w:p>
    <w:p w:rsidR="00370AA4" w:rsidRDefault="00370AA4">
      <w:pPr>
        <w:jc w:val="center"/>
        <w:rPr>
          <w:sz w:val="22"/>
        </w:rPr>
      </w:pPr>
    </w:p>
    <w:p w:rsidR="00370AA4" w:rsidRPr="009A7A25" w:rsidRDefault="00370AA4">
      <w:pPr>
        <w:jc w:val="center"/>
        <w:rPr>
          <w:sz w:val="22"/>
        </w:rPr>
      </w:pPr>
    </w:p>
    <w:p w:rsidR="0097451B" w:rsidRPr="00370AA4" w:rsidRDefault="001524D8">
      <w:pPr>
        <w:pStyle w:val="Titre"/>
        <w:rPr>
          <w:b/>
          <w:bCs/>
          <w:caps/>
          <w:sz w:val="36"/>
          <w:szCs w:val="36"/>
        </w:rPr>
      </w:pPr>
      <w:r>
        <w:rPr>
          <w:b/>
          <w:bCs/>
          <w:caps/>
          <w:sz w:val="36"/>
          <w:szCs w:val="36"/>
        </w:rPr>
        <w:t>SESSION 2016</w:t>
      </w:r>
    </w:p>
    <w:p w:rsidR="0097451B" w:rsidRPr="00370AA4" w:rsidRDefault="0097451B">
      <w:pPr>
        <w:spacing w:line="259" w:lineRule="auto"/>
        <w:jc w:val="center"/>
        <w:rPr>
          <w:b/>
          <w:sz w:val="36"/>
          <w:szCs w:val="36"/>
        </w:rPr>
      </w:pPr>
    </w:p>
    <w:p w:rsidR="0097451B" w:rsidRPr="00370AA4" w:rsidRDefault="0097451B" w:rsidP="00AD0AC9">
      <w:pPr>
        <w:tabs>
          <w:tab w:val="left" w:pos="8340"/>
        </w:tabs>
        <w:jc w:val="center"/>
        <w:rPr>
          <w:b/>
          <w:sz w:val="36"/>
          <w:szCs w:val="36"/>
        </w:rPr>
      </w:pPr>
      <w:r w:rsidRPr="00370AA4">
        <w:rPr>
          <w:b/>
          <w:sz w:val="36"/>
          <w:szCs w:val="36"/>
        </w:rPr>
        <w:t xml:space="preserve">DROIT FISCAL </w:t>
      </w:r>
    </w:p>
    <w:p w:rsidR="00AD0AC9" w:rsidRDefault="00AD0AC9">
      <w:pPr>
        <w:pStyle w:val="Titre1"/>
        <w:keepNext w:val="0"/>
        <w:jc w:val="center"/>
        <w:rPr>
          <w:sz w:val="22"/>
          <w:szCs w:val="22"/>
        </w:rPr>
      </w:pPr>
    </w:p>
    <w:p w:rsidR="00370AA4" w:rsidRDefault="00370AA4" w:rsidP="00370AA4"/>
    <w:p w:rsidR="00370AA4" w:rsidRDefault="00370AA4" w:rsidP="00370AA4"/>
    <w:p w:rsidR="00370AA4" w:rsidRDefault="00370AA4" w:rsidP="00370AA4"/>
    <w:p w:rsidR="00370AA4" w:rsidRDefault="00370AA4" w:rsidP="00370AA4"/>
    <w:p w:rsidR="00370AA4" w:rsidRDefault="00370AA4" w:rsidP="00370AA4"/>
    <w:p w:rsidR="00370AA4" w:rsidRDefault="00370AA4" w:rsidP="00370AA4"/>
    <w:p w:rsidR="00370AA4" w:rsidRDefault="00370AA4" w:rsidP="00370AA4"/>
    <w:p w:rsidR="00370AA4" w:rsidRDefault="00370AA4" w:rsidP="00370AA4"/>
    <w:p w:rsidR="00370AA4" w:rsidRDefault="00370AA4" w:rsidP="00370AA4"/>
    <w:p w:rsidR="00370AA4" w:rsidRPr="00370AA4" w:rsidRDefault="00370AA4" w:rsidP="00370AA4"/>
    <w:p w:rsidR="0097451B" w:rsidRPr="009A7A25" w:rsidRDefault="0097451B">
      <w:pPr>
        <w:shd w:val="clear" w:color="auto" w:fill="FFFFFF"/>
        <w:rPr>
          <w:b/>
          <w:bCs/>
          <w:color w:val="000000"/>
          <w:spacing w:val="-5"/>
          <w:sz w:val="22"/>
        </w:rPr>
      </w:pPr>
    </w:p>
    <w:p w:rsidR="0097451B" w:rsidRPr="00370AA4" w:rsidRDefault="00370AA4">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36"/>
          <w:szCs w:val="36"/>
        </w:rPr>
      </w:pPr>
      <w:r>
        <w:rPr>
          <w:color w:val="000000"/>
          <w:spacing w:val="-5"/>
          <w:sz w:val="36"/>
          <w:szCs w:val="36"/>
        </w:rPr>
        <w:t>É</w:t>
      </w:r>
      <w:r w:rsidR="00AD0AC9" w:rsidRPr="00370AA4">
        <w:rPr>
          <w:color w:val="000000"/>
          <w:spacing w:val="-5"/>
          <w:sz w:val="36"/>
          <w:szCs w:val="36"/>
        </w:rPr>
        <w:t>léments indicatifs de corrigé</w:t>
      </w:r>
    </w:p>
    <w:p w:rsidR="0092512D" w:rsidRDefault="0092512D">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p>
    <w:p w:rsidR="00370AA4" w:rsidRDefault="00370AA4">
      <w:pPr>
        <w:jc w:val="left"/>
        <w:rPr>
          <w:color w:val="000000"/>
          <w:spacing w:val="-7"/>
          <w:sz w:val="22"/>
        </w:rPr>
      </w:pPr>
      <w:r>
        <w:rPr>
          <w:color w:val="000000"/>
          <w:spacing w:val="-7"/>
          <w:sz w:val="22"/>
        </w:rPr>
        <w:br w:type="page"/>
      </w:r>
    </w:p>
    <w:p w:rsidR="00914AB5" w:rsidRDefault="00914AB5" w:rsidP="009A7A2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p>
    <w:p w:rsidR="0097451B" w:rsidRDefault="00914AB5" w:rsidP="009A7A2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r>
        <w:rPr>
          <w:b/>
          <w:bCs/>
          <w:color w:val="000000"/>
          <w:sz w:val="22"/>
        </w:rPr>
        <w:t>DOSSIER 1</w:t>
      </w:r>
    </w:p>
    <w:p w:rsidR="00914AB5" w:rsidRPr="009A7A25" w:rsidRDefault="00914AB5" w:rsidP="009A7A2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p>
    <w:p w:rsidR="0097451B" w:rsidRDefault="0097451B">
      <w:pPr>
        <w:shd w:val="clear" w:color="auto" w:fill="FFFFFF"/>
        <w:rPr>
          <w:color w:val="000000"/>
          <w:spacing w:val="-7"/>
          <w:sz w:val="22"/>
        </w:rPr>
      </w:pPr>
    </w:p>
    <w:p w:rsidR="00197339" w:rsidRPr="008B1DDC" w:rsidRDefault="008B1DDC" w:rsidP="009C4458">
      <w:pPr>
        <w:pStyle w:val="Paragraphedeliste"/>
        <w:numPr>
          <w:ilvl w:val="0"/>
          <w:numId w:val="2"/>
        </w:numPr>
        <w:tabs>
          <w:tab w:val="left" w:pos="851"/>
          <w:tab w:val="left" w:pos="1418"/>
        </w:tabs>
        <w:spacing w:before="0"/>
        <w:jc w:val="both"/>
        <w:rPr>
          <w:rFonts w:ascii="Times New Roman" w:hAnsi="Times New Roman"/>
          <w:b/>
          <w:bCs/>
          <w:color w:val="000000"/>
        </w:rPr>
      </w:pPr>
      <w:r w:rsidRPr="00DA0FC7">
        <w:rPr>
          <w:rFonts w:ascii="Times New Roman" w:hAnsi="Times New Roman"/>
          <w:b/>
          <w:bCs/>
          <w:color w:val="000000"/>
        </w:rPr>
        <w:t>Donner une définition du coefficient de taxation et justifier la valeur retenue à titre provisoire pour l’année 2015.</w:t>
      </w:r>
      <w:r>
        <w:rPr>
          <w:rFonts w:ascii="Times New Roman" w:hAnsi="Times New Roman"/>
          <w:b/>
          <w:bCs/>
          <w:color w:val="000000"/>
        </w:rPr>
        <w:t xml:space="preserve"> </w:t>
      </w:r>
    </w:p>
    <w:p w:rsidR="00C3048A" w:rsidRDefault="00C3048A" w:rsidP="008B1DDC">
      <w:pPr>
        <w:shd w:val="clear" w:color="auto" w:fill="FFFFFF"/>
        <w:rPr>
          <w:spacing w:val="-7"/>
          <w:sz w:val="22"/>
        </w:rPr>
      </w:pPr>
    </w:p>
    <w:p w:rsidR="008B1DDC" w:rsidRDefault="008B1DDC" w:rsidP="008B1DDC">
      <w:pPr>
        <w:shd w:val="clear" w:color="auto" w:fill="FFFFFF"/>
        <w:rPr>
          <w:color w:val="FF0000"/>
          <w:spacing w:val="-7"/>
          <w:sz w:val="22"/>
        </w:rPr>
      </w:pPr>
      <w:r w:rsidRPr="005A08CF">
        <w:rPr>
          <w:spacing w:val="-7"/>
          <w:sz w:val="22"/>
        </w:rPr>
        <w:t>Le coefficient de taxation correspond à la proportion d’utilisation d’un bien ou d’un service à des opérations ouvrant droit à déduction de la TVA</w:t>
      </w:r>
    </w:p>
    <w:p w:rsidR="008B1DDC" w:rsidRDefault="008B1DDC" w:rsidP="008B1DDC">
      <w:pPr>
        <w:shd w:val="clear" w:color="auto" w:fill="FFFFFF"/>
        <w:rPr>
          <w:color w:val="FF0000"/>
          <w:spacing w:val="-7"/>
          <w:sz w:val="22"/>
        </w:rPr>
      </w:pPr>
    </w:p>
    <w:p w:rsidR="008B1DDC" w:rsidRDefault="008B1DDC" w:rsidP="008B1DDC">
      <w:pPr>
        <w:shd w:val="clear" w:color="auto" w:fill="FFFFFF"/>
        <w:rPr>
          <w:spacing w:val="-7"/>
          <w:sz w:val="22"/>
        </w:rPr>
      </w:pPr>
      <w:r>
        <w:rPr>
          <w:spacing w:val="-7"/>
          <w:sz w:val="22"/>
        </w:rPr>
        <w:t>Coefficient de taxation  =   chiffre d’affaires secteur Taxis / chiffre d’affaires total</w:t>
      </w:r>
    </w:p>
    <w:p w:rsidR="008B1DDC" w:rsidRDefault="008B1DDC" w:rsidP="008B1DDC">
      <w:pPr>
        <w:shd w:val="clear" w:color="auto" w:fill="FFFFFF"/>
        <w:rPr>
          <w:color w:val="000000" w:themeColor="text1"/>
          <w:spacing w:val="-7"/>
          <w:sz w:val="22"/>
        </w:rPr>
      </w:pPr>
      <w:r>
        <w:rPr>
          <w:spacing w:val="-7"/>
          <w:sz w:val="22"/>
        </w:rPr>
        <w:tab/>
      </w:r>
      <w:r>
        <w:rPr>
          <w:spacing w:val="-7"/>
          <w:sz w:val="22"/>
        </w:rPr>
        <w:tab/>
      </w:r>
      <w:r>
        <w:rPr>
          <w:spacing w:val="-7"/>
          <w:sz w:val="22"/>
        </w:rPr>
        <w:tab/>
      </w:r>
      <w:r>
        <w:rPr>
          <w:spacing w:val="-7"/>
          <w:sz w:val="22"/>
        </w:rPr>
        <w:tab/>
        <w:t xml:space="preserve">= 379 400 / (379 400 + 252 960) =  0,599 arrondi à </w:t>
      </w:r>
      <w:r w:rsidRPr="003F3A45">
        <w:rPr>
          <w:b/>
          <w:spacing w:val="-7"/>
          <w:sz w:val="22"/>
        </w:rPr>
        <w:t>0.60</w:t>
      </w:r>
    </w:p>
    <w:p w:rsidR="00197339" w:rsidRDefault="00197339">
      <w:pPr>
        <w:shd w:val="clear" w:color="auto" w:fill="FFFFFF"/>
        <w:rPr>
          <w:spacing w:val="-7"/>
          <w:sz w:val="22"/>
        </w:rPr>
      </w:pPr>
    </w:p>
    <w:p w:rsidR="005A08CF" w:rsidRDefault="005A08CF">
      <w:pPr>
        <w:shd w:val="clear" w:color="auto" w:fill="FFFFFF"/>
        <w:rPr>
          <w:spacing w:val="-7"/>
          <w:sz w:val="22"/>
        </w:rPr>
      </w:pPr>
    </w:p>
    <w:p w:rsidR="005A08CF" w:rsidRPr="008B1DDC" w:rsidRDefault="008B1DDC" w:rsidP="009C4458">
      <w:pPr>
        <w:pStyle w:val="Paragraphedeliste"/>
        <w:numPr>
          <w:ilvl w:val="0"/>
          <w:numId w:val="2"/>
        </w:numPr>
        <w:tabs>
          <w:tab w:val="left" w:pos="851"/>
          <w:tab w:val="left" w:pos="1418"/>
        </w:tabs>
        <w:spacing w:before="0"/>
        <w:jc w:val="both"/>
        <w:rPr>
          <w:rFonts w:ascii="Times New Roman" w:hAnsi="Times New Roman"/>
          <w:b/>
          <w:bCs/>
          <w:color w:val="000000"/>
        </w:rPr>
      </w:pPr>
      <w:r w:rsidRPr="00DA0FC7">
        <w:rPr>
          <w:rFonts w:ascii="Times New Roman" w:hAnsi="Times New Roman"/>
          <w:b/>
          <w:bCs/>
          <w:color w:val="000000"/>
        </w:rPr>
        <w:t>Préciser les conséquences de sa double activité sur le calcul de la TVA collectée et de la TVA déductible.</w:t>
      </w:r>
    </w:p>
    <w:p w:rsidR="008B1DDC" w:rsidRDefault="008B1DDC" w:rsidP="008B1DDC">
      <w:pPr>
        <w:shd w:val="clear" w:color="auto" w:fill="FFFFFF"/>
        <w:rPr>
          <w:spacing w:val="-7"/>
        </w:rPr>
      </w:pPr>
    </w:p>
    <w:p w:rsidR="008B1DDC" w:rsidRDefault="008B1DDC" w:rsidP="008B1DDC">
      <w:pPr>
        <w:shd w:val="clear" w:color="auto" w:fill="FFFFFF"/>
        <w:rPr>
          <w:spacing w:val="-7"/>
        </w:rPr>
      </w:pPr>
      <w:r w:rsidRPr="008B1DDC">
        <w:rPr>
          <w:spacing w:val="-7"/>
        </w:rPr>
        <w:t xml:space="preserve">Toutes les prestations de transport fournies par la SARL MOURET se situent dans le champ d’application de la TVA, mais les transports en ambulance sont exonérés de TVA. La société est un redevable partiel à la TVA La société ne collecte pas de TVA sur les transports en ambulance et n’a pas droit à  déduction de TVA pour cette activité </w:t>
      </w:r>
    </w:p>
    <w:p w:rsidR="008B1DDC" w:rsidRPr="008B1DDC" w:rsidRDefault="008B1DDC" w:rsidP="008B1DDC">
      <w:pPr>
        <w:shd w:val="clear" w:color="auto" w:fill="FFFFFF"/>
        <w:rPr>
          <w:spacing w:val="-7"/>
        </w:rPr>
      </w:pPr>
      <w:r w:rsidRPr="008B1DDC">
        <w:rPr>
          <w:spacing w:val="-7"/>
        </w:rPr>
        <w:t>La TVA sur biens et services est déductible pour le « secteur Taxis </w:t>
      </w:r>
      <w:proofErr w:type="gramStart"/>
      <w:r w:rsidRPr="008B1DDC">
        <w:rPr>
          <w:spacing w:val="-7"/>
        </w:rPr>
        <w:t>»  ;</w:t>
      </w:r>
      <w:proofErr w:type="gramEnd"/>
      <w:r w:rsidRPr="008B1DDC">
        <w:rPr>
          <w:spacing w:val="-7"/>
        </w:rPr>
        <w:t xml:space="preserve"> les achats de biens et services communs aux deux secteurs autorisent TVA déductible dans la limite du coefficient de taxation forfaitaire </w:t>
      </w:r>
      <w:r w:rsidRPr="008B1DDC">
        <w:rPr>
          <w:color w:val="FF0000"/>
          <w:spacing w:val="-7"/>
        </w:rPr>
        <w:t>.</w:t>
      </w:r>
    </w:p>
    <w:p w:rsidR="00BC72A5" w:rsidRDefault="00BC72A5">
      <w:pPr>
        <w:shd w:val="clear" w:color="auto" w:fill="FFFFFF"/>
        <w:rPr>
          <w:color w:val="000000" w:themeColor="text1"/>
          <w:spacing w:val="-7"/>
          <w:sz w:val="22"/>
        </w:rPr>
      </w:pPr>
    </w:p>
    <w:p w:rsidR="00BC72A5" w:rsidRDefault="00BC72A5">
      <w:pPr>
        <w:shd w:val="clear" w:color="auto" w:fill="FFFFFF"/>
        <w:rPr>
          <w:color w:val="000000" w:themeColor="text1"/>
          <w:spacing w:val="-7"/>
          <w:sz w:val="22"/>
        </w:rPr>
      </w:pPr>
    </w:p>
    <w:p w:rsidR="00BC72A5" w:rsidRDefault="005A08CF">
      <w:pPr>
        <w:shd w:val="clear" w:color="auto" w:fill="FFFFFF"/>
        <w:rPr>
          <w:b/>
          <w:color w:val="FF0000"/>
          <w:spacing w:val="-7"/>
          <w:sz w:val="22"/>
        </w:rPr>
      </w:pPr>
      <w:r>
        <w:rPr>
          <w:b/>
          <w:color w:val="000000" w:themeColor="text1"/>
          <w:spacing w:val="-7"/>
          <w:sz w:val="22"/>
        </w:rPr>
        <w:t xml:space="preserve">3- Liquider la TVA au titre du mois de septembre 2015 en fournissant toutes les explications nécessaires et en utilisant le modèle de tableau ci-dessous : </w:t>
      </w:r>
    </w:p>
    <w:p w:rsidR="00E16561" w:rsidRDefault="00E16561">
      <w:pPr>
        <w:shd w:val="clear" w:color="auto" w:fill="FFFFFF"/>
        <w:rPr>
          <w:b/>
          <w:spacing w:val="-7"/>
          <w:sz w:val="22"/>
        </w:rPr>
      </w:pPr>
    </w:p>
    <w:tbl>
      <w:tblPr>
        <w:tblStyle w:val="Grilledutableau"/>
        <w:tblW w:w="0" w:type="auto"/>
        <w:tblInd w:w="28" w:type="dxa"/>
        <w:tblCellMar>
          <w:left w:w="28" w:type="dxa"/>
        </w:tblCellMar>
        <w:tblLook w:val="04A0"/>
      </w:tblPr>
      <w:tblGrid>
        <w:gridCol w:w="3402"/>
        <w:gridCol w:w="4253"/>
        <w:gridCol w:w="1134"/>
        <w:gridCol w:w="1183"/>
      </w:tblGrid>
      <w:tr w:rsidR="00E16561" w:rsidRPr="00914AB5" w:rsidTr="00E90D09">
        <w:tc>
          <w:tcPr>
            <w:tcW w:w="3402" w:type="dxa"/>
            <w:tcBorders>
              <w:bottom w:val="single" w:sz="4" w:space="0" w:color="auto"/>
            </w:tcBorders>
            <w:vAlign w:val="center"/>
          </w:tcPr>
          <w:p w:rsidR="00E16561" w:rsidRPr="00914AB5" w:rsidRDefault="00E16561" w:rsidP="00914AB5">
            <w:pPr>
              <w:jc w:val="center"/>
              <w:rPr>
                <w:b/>
                <w:color w:val="000000" w:themeColor="text1"/>
                <w:spacing w:val="-7"/>
                <w:sz w:val="22"/>
              </w:rPr>
            </w:pPr>
            <w:r w:rsidRPr="00914AB5">
              <w:rPr>
                <w:b/>
                <w:color w:val="000000" w:themeColor="text1"/>
                <w:spacing w:val="-7"/>
                <w:sz w:val="22"/>
              </w:rPr>
              <w:t>Opérations</w:t>
            </w:r>
          </w:p>
        </w:tc>
        <w:tc>
          <w:tcPr>
            <w:tcW w:w="4253" w:type="dxa"/>
            <w:tcBorders>
              <w:bottom w:val="single" w:sz="4" w:space="0" w:color="auto"/>
            </w:tcBorders>
            <w:vAlign w:val="center"/>
          </w:tcPr>
          <w:p w:rsidR="00E16561" w:rsidRPr="00914AB5" w:rsidRDefault="00E16561" w:rsidP="00914AB5">
            <w:pPr>
              <w:jc w:val="center"/>
              <w:rPr>
                <w:b/>
                <w:color w:val="000000" w:themeColor="text1"/>
                <w:spacing w:val="-7"/>
                <w:sz w:val="22"/>
              </w:rPr>
            </w:pPr>
            <w:r w:rsidRPr="00914AB5">
              <w:rPr>
                <w:b/>
                <w:color w:val="000000" w:themeColor="text1"/>
                <w:spacing w:val="-7"/>
                <w:sz w:val="22"/>
              </w:rPr>
              <w:t>Justifications</w:t>
            </w:r>
          </w:p>
        </w:tc>
        <w:tc>
          <w:tcPr>
            <w:tcW w:w="1134" w:type="dxa"/>
            <w:tcBorders>
              <w:bottom w:val="single" w:sz="4" w:space="0" w:color="auto"/>
            </w:tcBorders>
            <w:vAlign w:val="center"/>
          </w:tcPr>
          <w:p w:rsidR="00E16561" w:rsidRPr="00914AB5" w:rsidRDefault="00E16561" w:rsidP="00914AB5">
            <w:pPr>
              <w:jc w:val="center"/>
              <w:rPr>
                <w:b/>
                <w:color w:val="000000" w:themeColor="text1"/>
                <w:spacing w:val="-7"/>
                <w:sz w:val="22"/>
              </w:rPr>
            </w:pPr>
            <w:r w:rsidRPr="00914AB5">
              <w:rPr>
                <w:b/>
                <w:color w:val="000000" w:themeColor="text1"/>
                <w:spacing w:val="-7"/>
                <w:sz w:val="22"/>
              </w:rPr>
              <w:t>TVA exigible</w:t>
            </w:r>
          </w:p>
        </w:tc>
        <w:tc>
          <w:tcPr>
            <w:tcW w:w="1183" w:type="dxa"/>
            <w:tcBorders>
              <w:bottom w:val="single" w:sz="4" w:space="0" w:color="auto"/>
            </w:tcBorders>
            <w:vAlign w:val="center"/>
          </w:tcPr>
          <w:p w:rsidR="00E16561" w:rsidRPr="00914AB5" w:rsidRDefault="00E16561" w:rsidP="00914AB5">
            <w:pPr>
              <w:jc w:val="center"/>
              <w:rPr>
                <w:b/>
                <w:color w:val="000000" w:themeColor="text1"/>
                <w:spacing w:val="-7"/>
                <w:sz w:val="22"/>
              </w:rPr>
            </w:pPr>
            <w:r w:rsidRPr="00914AB5">
              <w:rPr>
                <w:b/>
                <w:color w:val="000000" w:themeColor="text1"/>
                <w:spacing w:val="-7"/>
                <w:sz w:val="22"/>
              </w:rPr>
              <w:t>TVA déductible</w:t>
            </w:r>
          </w:p>
        </w:tc>
      </w:tr>
      <w:tr w:rsidR="00C95CCC" w:rsidRPr="00914AB5" w:rsidTr="00C95CCC">
        <w:trPr>
          <w:trHeight w:hRule="exact" w:val="397"/>
        </w:trPr>
        <w:tc>
          <w:tcPr>
            <w:tcW w:w="3402" w:type="dxa"/>
            <w:tcBorders>
              <w:bottom w:val="nil"/>
            </w:tcBorders>
          </w:tcPr>
          <w:p w:rsidR="00C95CCC" w:rsidRDefault="00C95CCC">
            <w:pPr>
              <w:rPr>
                <w:b/>
                <w:color w:val="000000" w:themeColor="text1"/>
                <w:spacing w:val="-7"/>
                <w:sz w:val="20"/>
                <w:szCs w:val="20"/>
              </w:rPr>
            </w:pPr>
            <w:r w:rsidRPr="00914AB5">
              <w:rPr>
                <w:b/>
                <w:color w:val="000000" w:themeColor="text1"/>
                <w:spacing w:val="-7"/>
                <w:sz w:val="22"/>
              </w:rPr>
              <w:t>1- Encaissements</w:t>
            </w:r>
            <w:r w:rsidRPr="00914AB5">
              <w:rPr>
                <w:b/>
                <w:color w:val="000000" w:themeColor="text1"/>
                <w:spacing w:val="-7"/>
                <w:sz w:val="20"/>
                <w:szCs w:val="20"/>
              </w:rPr>
              <w:t xml:space="preserve"> </w:t>
            </w:r>
          </w:p>
          <w:p w:rsidR="00C95CCC" w:rsidRPr="00914AB5" w:rsidRDefault="00C95CCC">
            <w:pPr>
              <w:rPr>
                <w:b/>
                <w:color w:val="000000" w:themeColor="text1"/>
                <w:spacing w:val="-7"/>
                <w:sz w:val="20"/>
                <w:szCs w:val="20"/>
              </w:rPr>
            </w:pPr>
          </w:p>
        </w:tc>
        <w:tc>
          <w:tcPr>
            <w:tcW w:w="4253" w:type="dxa"/>
            <w:vMerge w:val="restart"/>
            <w:vAlign w:val="center"/>
          </w:tcPr>
          <w:p w:rsidR="00C95CCC" w:rsidRPr="00914AB5" w:rsidRDefault="00C95CCC" w:rsidP="00C95CCC">
            <w:pPr>
              <w:jc w:val="left"/>
              <w:rPr>
                <w:b/>
                <w:color w:val="000000" w:themeColor="text1"/>
                <w:spacing w:val="-7"/>
                <w:sz w:val="20"/>
                <w:szCs w:val="20"/>
              </w:rPr>
            </w:pPr>
            <w:r w:rsidRPr="00914AB5">
              <w:rPr>
                <w:color w:val="000000" w:themeColor="text1"/>
                <w:spacing w:val="-7"/>
                <w:sz w:val="20"/>
                <w:szCs w:val="20"/>
              </w:rPr>
              <w:t xml:space="preserve">Prestations exonérées de TVA. </w:t>
            </w:r>
          </w:p>
          <w:p w:rsidR="00C95CCC" w:rsidRPr="00914AB5" w:rsidRDefault="00C95CCC" w:rsidP="00C95CCC">
            <w:pPr>
              <w:jc w:val="left"/>
              <w:rPr>
                <w:color w:val="000000" w:themeColor="text1"/>
                <w:spacing w:val="-7"/>
                <w:sz w:val="20"/>
                <w:szCs w:val="20"/>
              </w:rPr>
            </w:pPr>
            <w:r w:rsidRPr="00914AB5">
              <w:rPr>
                <w:color w:val="000000" w:themeColor="text1"/>
                <w:spacing w:val="-7"/>
                <w:sz w:val="20"/>
                <w:szCs w:val="20"/>
              </w:rPr>
              <w:t xml:space="preserve">TVA collectée à l’encaissement - taux 10 % - </w:t>
            </w:r>
          </w:p>
          <w:p w:rsidR="00C95CCC" w:rsidRPr="00914AB5" w:rsidRDefault="00C95CCC" w:rsidP="00C95CCC">
            <w:pPr>
              <w:jc w:val="left"/>
              <w:rPr>
                <w:b/>
                <w:color w:val="000000" w:themeColor="text1"/>
                <w:spacing w:val="-7"/>
                <w:sz w:val="20"/>
                <w:szCs w:val="20"/>
              </w:rPr>
            </w:pPr>
            <w:r w:rsidRPr="00914AB5">
              <w:rPr>
                <w:color w:val="000000" w:themeColor="text1"/>
                <w:spacing w:val="-7"/>
                <w:sz w:val="20"/>
                <w:szCs w:val="20"/>
              </w:rPr>
              <w:t xml:space="preserve"> = (46 750 / 1,10)  x 10 % = 4 250 € </w:t>
            </w:r>
          </w:p>
        </w:tc>
        <w:tc>
          <w:tcPr>
            <w:tcW w:w="1134" w:type="dxa"/>
            <w:vMerge w:val="restart"/>
            <w:vAlign w:val="center"/>
          </w:tcPr>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4 250</w:t>
            </w:r>
          </w:p>
        </w:tc>
        <w:tc>
          <w:tcPr>
            <w:tcW w:w="1183" w:type="dxa"/>
            <w:tcBorders>
              <w:bottom w:val="nil"/>
            </w:tcBorders>
            <w:vAlign w:val="center"/>
          </w:tcPr>
          <w:p w:rsidR="00C95CCC" w:rsidRPr="00914AB5" w:rsidRDefault="00C95CCC" w:rsidP="00C95CCC">
            <w:pPr>
              <w:jc w:val="center"/>
              <w:rPr>
                <w:color w:val="000000" w:themeColor="text1"/>
                <w:spacing w:val="-7"/>
                <w:sz w:val="20"/>
                <w:szCs w:val="20"/>
              </w:rPr>
            </w:pPr>
          </w:p>
        </w:tc>
      </w:tr>
      <w:tr w:rsidR="00C95CCC" w:rsidRPr="00914AB5" w:rsidTr="00C95CCC">
        <w:tc>
          <w:tcPr>
            <w:tcW w:w="3402" w:type="dxa"/>
            <w:tcBorders>
              <w:top w:val="nil"/>
              <w:bottom w:val="nil"/>
            </w:tcBorders>
            <w:tcMar>
              <w:left w:w="0" w:type="dxa"/>
            </w:tcMar>
          </w:tcPr>
          <w:p w:rsidR="00C95CCC" w:rsidRPr="00914AB5" w:rsidRDefault="00C95CCC" w:rsidP="009C4458">
            <w:pPr>
              <w:pStyle w:val="Paragraphedeliste"/>
              <w:numPr>
                <w:ilvl w:val="0"/>
                <w:numId w:val="1"/>
              </w:numPr>
              <w:spacing w:before="100" w:beforeAutospacing="1"/>
              <w:ind w:left="641" w:hanging="357"/>
              <w:rPr>
                <w:rFonts w:ascii="Times New Roman" w:hAnsi="Times New Roman"/>
                <w:color w:val="000000" w:themeColor="text1"/>
                <w:spacing w:val="-7"/>
                <w:sz w:val="20"/>
                <w:szCs w:val="20"/>
              </w:rPr>
            </w:pPr>
            <w:r w:rsidRPr="00914AB5">
              <w:rPr>
                <w:rFonts w:ascii="Times New Roman" w:hAnsi="Times New Roman"/>
                <w:color w:val="000000" w:themeColor="text1"/>
                <w:spacing w:val="-7"/>
                <w:sz w:val="20"/>
                <w:szCs w:val="20"/>
              </w:rPr>
              <w:t xml:space="preserve">1.1 Secteur Ambulances </w:t>
            </w:r>
          </w:p>
        </w:tc>
        <w:tc>
          <w:tcPr>
            <w:tcW w:w="4253" w:type="dxa"/>
            <w:vMerge/>
            <w:vAlign w:val="center"/>
          </w:tcPr>
          <w:p w:rsidR="00C95CCC" w:rsidRPr="00914AB5" w:rsidRDefault="00C95CCC" w:rsidP="00C95CCC">
            <w:pPr>
              <w:jc w:val="left"/>
              <w:rPr>
                <w:color w:val="000000" w:themeColor="text1"/>
                <w:spacing w:val="-7"/>
                <w:sz w:val="20"/>
                <w:szCs w:val="20"/>
              </w:rPr>
            </w:pPr>
          </w:p>
        </w:tc>
        <w:tc>
          <w:tcPr>
            <w:tcW w:w="1134" w:type="dxa"/>
            <w:vMerge/>
            <w:vAlign w:val="center"/>
          </w:tcPr>
          <w:p w:rsidR="00C95CCC" w:rsidRPr="00914AB5" w:rsidRDefault="00C95CCC" w:rsidP="00C95CCC">
            <w:pPr>
              <w:jc w:val="center"/>
              <w:rPr>
                <w:color w:val="000000" w:themeColor="text1"/>
                <w:spacing w:val="-7"/>
                <w:sz w:val="20"/>
                <w:szCs w:val="20"/>
              </w:rPr>
            </w:pPr>
          </w:p>
        </w:tc>
        <w:tc>
          <w:tcPr>
            <w:tcW w:w="1183" w:type="dxa"/>
            <w:tcBorders>
              <w:top w:val="nil"/>
              <w:bottom w:val="nil"/>
            </w:tcBorders>
            <w:vAlign w:val="center"/>
          </w:tcPr>
          <w:p w:rsidR="00C95CCC" w:rsidRPr="00914AB5" w:rsidRDefault="00C95CCC" w:rsidP="00C95CCC">
            <w:pPr>
              <w:jc w:val="center"/>
              <w:rPr>
                <w:color w:val="000000" w:themeColor="text1"/>
                <w:spacing w:val="-7"/>
                <w:sz w:val="20"/>
                <w:szCs w:val="20"/>
              </w:rPr>
            </w:pPr>
          </w:p>
        </w:tc>
      </w:tr>
      <w:tr w:rsidR="00C95CCC" w:rsidRPr="00914AB5" w:rsidTr="00C95CCC">
        <w:tc>
          <w:tcPr>
            <w:tcW w:w="3402" w:type="dxa"/>
            <w:tcBorders>
              <w:top w:val="nil"/>
              <w:bottom w:val="single" w:sz="4" w:space="0" w:color="auto"/>
            </w:tcBorders>
            <w:tcMar>
              <w:left w:w="0" w:type="dxa"/>
            </w:tcMar>
          </w:tcPr>
          <w:p w:rsidR="00C95CCC" w:rsidRPr="00914AB5" w:rsidRDefault="00C95CCC" w:rsidP="009C4458">
            <w:pPr>
              <w:pStyle w:val="Paragraphedeliste"/>
              <w:numPr>
                <w:ilvl w:val="0"/>
                <w:numId w:val="1"/>
              </w:numPr>
              <w:spacing w:before="100" w:beforeAutospacing="1"/>
              <w:ind w:left="641" w:hanging="357"/>
              <w:rPr>
                <w:rFonts w:ascii="Times New Roman" w:hAnsi="Times New Roman"/>
                <w:color w:val="000000" w:themeColor="text1"/>
                <w:spacing w:val="-7"/>
                <w:sz w:val="20"/>
                <w:szCs w:val="20"/>
              </w:rPr>
            </w:pPr>
            <w:r w:rsidRPr="00914AB5">
              <w:rPr>
                <w:rFonts w:ascii="Times New Roman" w:hAnsi="Times New Roman"/>
                <w:color w:val="000000" w:themeColor="text1"/>
                <w:spacing w:val="-7"/>
                <w:sz w:val="20"/>
                <w:szCs w:val="20"/>
              </w:rPr>
              <w:t xml:space="preserve">1.2 Secteur Taxis  </w:t>
            </w:r>
          </w:p>
        </w:tc>
        <w:tc>
          <w:tcPr>
            <w:tcW w:w="4253" w:type="dxa"/>
            <w:vMerge/>
            <w:tcBorders>
              <w:bottom w:val="single" w:sz="4" w:space="0" w:color="auto"/>
            </w:tcBorders>
            <w:vAlign w:val="center"/>
          </w:tcPr>
          <w:p w:rsidR="00C95CCC" w:rsidRPr="00914AB5" w:rsidRDefault="00C95CCC" w:rsidP="00C95CCC">
            <w:pPr>
              <w:jc w:val="left"/>
              <w:rPr>
                <w:color w:val="FF0000"/>
                <w:spacing w:val="-7"/>
                <w:sz w:val="20"/>
                <w:szCs w:val="20"/>
              </w:rPr>
            </w:pPr>
          </w:p>
        </w:tc>
        <w:tc>
          <w:tcPr>
            <w:tcW w:w="1134" w:type="dxa"/>
            <w:vMerge/>
            <w:tcBorders>
              <w:bottom w:val="single" w:sz="4" w:space="0" w:color="auto"/>
            </w:tcBorders>
            <w:vAlign w:val="center"/>
          </w:tcPr>
          <w:p w:rsidR="00C95CCC" w:rsidRPr="00914AB5" w:rsidRDefault="00C95CCC" w:rsidP="00C95CCC">
            <w:pPr>
              <w:jc w:val="center"/>
              <w:rPr>
                <w:color w:val="000000" w:themeColor="text1"/>
                <w:spacing w:val="-7"/>
                <w:sz w:val="20"/>
                <w:szCs w:val="20"/>
              </w:rPr>
            </w:pPr>
          </w:p>
        </w:tc>
        <w:tc>
          <w:tcPr>
            <w:tcW w:w="1183" w:type="dxa"/>
            <w:tcBorders>
              <w:top w:val="nil"/>
              <w:bottom w:val="single" w:sz="4" w:space="0" w:color="auto"/>
            </w:tcBorders>
            <w:vAlign w:val="center"/>
          </w:tcPr>
          <w:p w:rsidR="00C95CCC" w:rsidRPr="00914AB5" w:rsidRDefault="00C95CCC" w:rsidP="00C95CCC">
            <w:pPr>
              <w:jc w:val="center"/>
              <w:rPr>
                <w:color w:val="000000" w:themeColor="text1"/>
                <w:spacing w:val="-7"/>
                <w:sz w:val="20"/>
                <w:szCs w:val="20"/>
              </w:rPr>
            </w:pPr>
          </w:p>
        </w:tc>
      </w:tr>
      <w:tr w:rsidR="00E90D09" w:rsidRPr="00914AB5" w:rsidTr="00C95CCC">
        <w:trPr>
          <w:trHeight w:hRule="exact" w:val="397"/>
        </w:trPr>
        <w:tc>
          <w:tcPr>
            <w:tcW w:w="3402" w:type="dxa"/>
            <w:tcBorders>
              <w:bottom w:val="nil"/>
            </w:tcBorders>
            <w:vAlign w:val="center"/>
          </w:tcPr>
          <w:p w:rsidR="00E90D09" w:rsidRPr="00914AB5" w:rsidRDefault="00E90D09" w:rsidP="00914AB5">
            <w:pPr>
              <w:jc w:val="left"/>
              <w:rPr>
                <w:b/>
                <w:spacing w:val="-7"/>
                <w:sz w:val="22"/>
              </w:rPr>
            </w:pPr>
            <w:r w:rsidRPr="00914AB5">
              <w:rPr>
                <w:b/>
                <w:spacing w:val="-7"/>
                <w:sz w:val="22"/>
              </w:rPr>
              <w:t>2- Opérations sur immobilisations</w:t>
            </w:r>
          </w:p>
        </w:tc>
        <w:tc>
          <w:tcPr>
            <w:tcW w:w="4253" w:type="dxa"/>
            <w:vMerge w:val="restart"/>
            <w:vAlign w:val="center"/>
          </w:tcPr>
          <w:p w:rsidR="00E90D09" w:rsidRPr="00914AB5" w:rsidRDefault="00E90D09" w:rsidP="00C95CCC">
            <w:pPr>
              <w:jc w:val="left"/>
              <w:rPr>
                <w:color w:val="000000" w:themeColor="text1"/>
                <w:spacing w:val="-7"/>
                <w:sz w:val="20"/>
                <w:szCs w:val="20"/>
              </w:rPr>
            </w:pPr>
            <w:r w:rsidRPr="00914AB5">
              <w:rPr>
                <w:color w:val="000000" w:themeColor="text1"/>
                <w:spacing w:val="-7"/>
                <w:sz w:val="20"/>
                <w:szCs w:val="20"/>
              </w:rPr>
              <w:t>Immobilisation commune aux 2 secteurs,</w:t>
            </w:r>
          </w:p>
          <w:p w:rsidR="00E90D09" w:rsidRPr="00914AB5" w:rsidRDefault="00E90D09" w:rsidP="00C95CCC">
            <w:pPr>
              <w:jc w:val="left"/>
              <w:rPr>
                <w:color w:val="FF0000"/>
                <w:spacing w:val="-7"/>
                <w:sz w:val="20"/>
                <w:szCs w:val="20"/>
              </w:rPr>
            </w:pPr>
            <w:r w:rsidRPr="00914AB5">
              <w:rPr>
                <w:color w:val="000000" w:themeColor="text1"/>
                <w:spacing w:val="-7"/>
                <w:sz w:val="20"/>
                <w:szCs w:val="20"/>
              </w:rPr>
              <w:t xml:space="preserve"> TVA déductible à la livraison ; coefficient de taxation = 0.60</w:t>
            </w:r>
          </w:p>
          <w:p w:rsidR="00E90D09" w:rsidRPr="00914AB5" w:rsidRDefault="00E90D09" w:rsidP="00C95CCC">
            <w:pPr>
              <w:jc w:val="left"/>
              <w:rPr>
                <w:color w:val="000000" w:themeColor="text1"/>
                <w:spacing w:val="-7"/>
                <w:sz w:val="20"/>
                <w:szCs w:val="20"/>
              </w:rPr>
            </w:pPr>
            <w:r w:rsidRPr="00914AB5">
              <w:rPr>
                <w:color w:val="000000" w:themeColor="text1"/>
                <w:spacing w:val="-7"/>
                <w:sz w:val="20"/>
                <w:szCs w:val="20"/>
              </w:rPr>
              <w:t>TVA déductible = (2 400 x 20 %) x 0,60 = 288 €</w:t>
            </w:r>
          </w:p>
        </w:tc>
        <w:tc>
          <w:tcPr>
            <w:tcW w:w="1134" w:type="dxa"/>
            <w:tcBorders>
              <w:bottom w:val="nil"/>
            </w:tcBorders>
            <w:vAlign w:val="center"/>
          </w:tcPr>
          <w:p w:rsidR="00E90D09" w:rsidRPr="00914AB5" w:rsidRDefault="00E90D09" w:rsidP="00C95CCC">
            <w:pPr>
              <w:jc w:val="center"/>
              <w:rPr>
                <w:color w:val="000000" w:themeColor="text1"/>
                <w:spacing w:val="-7"/>
                <w:sz w:val="20"/>
                <w:szCs w:val="20"/>
              </w:rPr>
            </w:pPr>
          </w:p>
        </w:tc>
        <w:tc>
          <w:tcPr>
            <w:tcW w:w="1183" w:type="dxa"/>
            <w:tcBorders>
              <w:bottom w:val="nil"/>
            </w:tcBorders>
            <w:vAlign w:val="center"/>
          </w:tcPr>
          <w:p w:rsidR="00E90D09" w:rsidRPr="00914AB5" w:rsidRDefault="00E90D09" w:rsidP="00C95CCC">
            <w:pPr>
              <w:jc w:val="center"/>
              <w:rPr>
                <w:color w:val="000000" w:themeColor="text1"/>
                <w:spacing w:val="-7"/>
                <w:sz w:val="20"/>
                <w:szCs w:val="20"/>
              </w:rPr>
            </w:pPr>
          </w:p>
        </w:tc>
      </w:tr>
      <w:tr w:rsidR="00E90D09" w:rsidRPr="00914AB5" w:rsidTr="00C95CCC">
        <w:trPr>
          <w:trHeight w:val="1001"/>
        </w:trPr>
        <w:tc>
          <w:tcPr>
            <w:tcW w:w="3402" w:type="dxa"/>
            <w:tcBorders>
              <w:top w:val="nil"/>
              <w:bottom w:val="single" w:sz="4" w:space="0" w:color="auto"/>
            </w:tcBorders>
            <w:vAlign w:val="center"/>
          </w:tcPr>
          <w:p w:rsidR="00E90D09" w:rsidRPr="00914AB5" w:rsidRDefault="00E90D09" w:rsidP="00914AB5">
            <w:pPr>
              <w:jc w:val="left"/>
              <w:rPr>
                <w:color w:val="FF0000"/>
                <w:spacing w:val="-7"/>
                <w:sz w:val="20"/>
                <w:szCs w:val="20"/>
              </w:rPr>
            </w:pPr>
            <w:r w:rsidRPr="00914AB5">
              <w:rPr>
                <w:color w:val="000000" w:themeColor="text1"/>
                <w:spacing w:val="-7"/>
                <w:sz w:val="20"/>
                <w:szCs w:val="20"/>
              </w:rPr>
              <w:t>2.1) Photocopieur</w:t>
            </w:r>
          </w:p>
        </w:tc>
        <w:tc>
          <w:tcPr>
            <w:tcW w:w="4253" w:type="dxa"/>
            <w:vMerge/>
            <w:vAlign w:val="center"/>
          </w:tcPr>
          <w:p w:rsidR="00E90D09" w:rsidRPr="00914AB5" w:rsidRDefault="00E90D09" w:rsidP="00C95CCC">
            <w:pPr>
              <w:jc w:val="left"/>
              <w:rPr>
                <w:color w:val="FF0000"/>
                <w:spacing w:val="-7"/>
                <w:sz w:val="20"/>
                <w:szCs w:val="20"/>
              </w:rPr>
            </w:pPr>
          </w:p>
        </w:tc>
        <w:tc>
          <w:tcPr>
            <w:tcW w:w="1134" w:type="dxa"/>
            <w:tcBorders>
              <w:top w:val="nil"/>
            </w:tcBorders>
            <w:vAlign w:val="center"/>
          </w:tcPr>
          <w:p w:rsidR="00E90D09" w:rsidRPr="00914AB5" w:rsidRDefault="00E90D09" w:rsidP="00C95CCC">
            <w:pPr>
              <w:jc w:val="center"/>
              <w:rPr>
                <w:color w:val="000000" w:themeColor="text1"/>
                <w:spacing w:val="-7"/>
                <w:sz w:val="20"/>
                <w:szCs w:val="20"/>
              </w:rPr>
            </w:pPr>
          </w:p>
        </w:tc>
        <w:tc>
          <w:tcPr>
            <w:tcW w:w="1183" w:type="dxa"/>
            <w:tcBorders>
              <w:top w:val="nil"/>
            </w:tcBorders>
            <w:vAlign w:val="center"/>
          </w:tcPr>
          <w:p w:rsidR="00E90D09" w:rsidRPr="00914AB5" w:rsidRDefault="00C95CCC" w:rsidP="00C95CCC">
            <w:pPr>
              <w:jc w:val="center"/>
              <w:rPr>
                <w:spacing w:val="-7"/>
                <w:sz w:val="20"/>
                <w:szCs w:val="20"/>
              </w:rPr>
            </w:pPr>
            <w:r>
              <w:rPr>
                <w:spacing w:val="-7"/>
                <w:sz w:val="20"/>
                <w:szCs w:val="20"/>
              </w:rPr>
              <w:t>2</w:t>
            </w:r>
            <w:r w:rsidR="00E90D09" w:rsidRPr="00914AB5">
              <w:rPr>
                <w:spacing w:val="-7"/>
                <w:sz w:val="20"/>
                <w:szCs w:val="20"/>
              </w:rPr>
              <w:t>88</w:t>
            </w:r>
          </w:p>
        </w:tc>
      </w:tr>
      <w:tr w:rsidR="008B1DDC" w:rsidRPr="00914AB5" w:rsidTr="00C95CCC">
        <w:trPr>
          <w:trHeight w:val="1271"/>
        </w:trPr>
        <w:tc>
          <w:tcPr>
            <w:tcW w:w="3402" w:type="dxa"/>
            <w:tcBorders>
              <w:top w:val="single" w:sz="4" w:space="0" w:color="auto"/>
            </w:tcBorders>
            <w:vAlign w:val="center"/>
          </w:tcPr>
          <w:p w:rsidR="008B1DDC" w:rsidRPr="00914AB5" w:rsidRDefault="008B1DDC" w:rsidP="00914AB5">
            <w:pPr>
              <w:jc w:val="left"/>
              <w:rPr>
                <w:color w:val="FF0000"/>
                <w:spacing w:val="-7"/>
                <w:sz w:val="20"/>
                <w:szCs w:val="20"/>
              </w:rPr>
            </w:pPr>
            <w:r w:rsidRPr="00914AB5">
              <w:rPr>
                <w:color w:val="000000" w:themeColor="text1"/>
                <w:spacing w:val="-7"/>
                <w:sz w:val="20"/>
                <w:szCs w:val="20"/>
              </w:rPr>
              <w:t>2.2) Peugeot 508</w:t>
            </w:r>
          </w:p>
        </w:tc>
        <w:tc>
          <w:tcPr>
            <w:tcW w:w="4253" w:type="dxa"/>
            <w:vAlign w:val="center"/>
          </w:tcPr>
          <w:p w:rsidR="008B1DDC" w:rsidRPr="00914AB5" w:rsidRDefault="008B1DDC" w:rsidP="00C95CCC">
            <w:pPr>
              <w:jc w:val="left"/>
              <w:rPr>
                <w:color w:val="000000" w:themeColor="text1"/>
                <w:spacing w:val="-7"/>
                <w:sz w:val="20"/>
                <w:szCs w:val="20"/>
              </w:rPr>
            </w:pPr>
            <w:r w:rsidRPr="00914AB5">
              <w:rPr>
                <w:color w:val="000000" w:themeColor="text1"/>
                <w:spacing w:val="-7"/>
                <w:sz w:val="20"/>
                <w:szCs w:val="20"/>
              </w:rPr>
              <w:t>TVA déductible à la livraison ; coefficient d’admission = 1 pour les entreprises de transports publics de personnes.</w:t>
            </w:r>
          </w:p>
          <w:p w:rsidR="008B1DDC" w:rsidRPr="00914AB5" w:rsidRDefault="008B1DDC" w:rsidP="00C95CCC">
            <w:pPr>
              <w:jc w:val="left"/>
              <w:rPr>
                <w:color w:val="000000" w:themeColor="text1"/>
                <w:spacing w:val="-7"/>
                <w:sz w:val="20"/>
                <w:szCs w:val="20"/>
              </w:rPr>
            </w:pPr>
            <w:r w:rsidRPr="00914AB5">
              <w:rPr>
                <w:color w:val="000000" w:themeColor="text1"/>
                <w:spacing w:val="-7"/>
                <w:sz w:val="20"/>
                <w:szCs w:val="20"/>
              </w:rPr>
              <w:t xml:space="preserve">TVA  déductible = 31 000 x 20 % = 6 200 € </w:t>
            </w:r>
          </w:p>
        </w:tc>
        <w:tc>
          <w:tcPr>
            <w:tcW w:w="1134" w:type="dxa"/>
            <w:vAlign w:val="center"/>
          </w:tcPr>
          <w:p w:rsidR="008B1DDC" w:rsidRPr="00914AB5" w:rsidRDefault="008B1DDC" w:rsidP="00C95CCC">
            <w:pPr>
              <w:jc w:val="center"/>
              <w:rPr>
                <w:color w:val="000000" w:themeColor="text1"/>
                <w:spacing w:val="-7"/>
                <w:sz w:val="20"/>
                <w:szCs w:val="20"/>
              </w:rPr>
            </w:pPr>
          </w:p>
        </w:tc>
        <w:tc>
          <w:tcPr>
            <w:tcW w:w="1183" w:type="dxa"/>
            <w:vAlign w:val="center"/>
          </w:tcPr>
          <w:p w:rsidR="008B1DDC" w:rsidRPr="00914AB5" w:rsidRDefault="008B1DDC" w:rsidP="00C95CCC">
            <w:pPr>
              <w:jc w:val="center"/>
              <w:rPr>
                <w:color w:val="000000" w:themeColor="text1"/>
                <w:spacing w:val="-7"/>
                <w:sz w:val="20"/>
                <w:szCs w:val="20"/>
              </w:rPr>
            </w:pPr>
            <w:r w:rsidRPr="00914AB5">
              <w:rPr>
                <w:color w:val="000000" w:themeColor="text1"/>
                <w:spacing w:val="-7"/>
                <w:sz w:val="20"/>
                <w:szCs w:val="20"/>
              </w:rPr>
              <w:t>6 200</w:t>
            </w:r>
          </w:p>
        </w:tc>
      </w:tr>
    </w:tbl>
    <w:p w:rsidR="00C95CCC" w:rsidRDefault="00C95CCC">
      <w:r>
        <w:br w:type="page"/>
      </w:r>
    </w:p>
    <w:tbl>
      <w:tblPr>
        <w:tblStyle w:val="Grilledutableau"/>
        <w:tblW w:w="0" w:type="auto"/>
        <w:tblInd w:w="28" w:type="dxa"/>
        <w:tblCellMar>
          <w:left w:w="28" w:type="dxa"/>
        </w:tblCellMar>
        <w:tblLook w:val="04A0"/>
      </w:tblPr>
      <w:tblGrid>
        <w:gridCol w:w="3402"/>
        <w:gridCol w:w="4253"/>
        <w:gridCol w:w="1134"/>
        <w:gridCol w:w="1183"/>
      </w:tblGrid>
      <w:tr w:rsidR="00C95CCC" w:rsidRPr="00914AB5" w:rsidTr="00C95CCC">
        <w:tc>
          <w:tcPr>
            <w:tcW w:w="3402" w:type="dxa"/>
            <w:tcBorders>
              <w:bottom w:val="single" w:sz="4" w:space="0" w:color="auto"/>
            </w:tcBorders>
            <w:vAlign w:val="center"/>
          </w:tcPr>
          <w:p w:rsidR="00C95CCC" w:rsidRPr="00914AB5" w:rsidRDefault="00C95CCC" w:rsidP="0080231D">
            <w:pPr>
              <w:jc w:val="center"/>
              <w:rPr>
                <w:b/>
                <w:color w:val="000000" w:themeColor="text1"/>
                <w:spacing w:val="-7"/>
                <w:sz w:val="22"/>
              </w:rPr>
            </w:pPr>
            <w:r w:rsidRPr="00914AB5">
              <w:rPr>
                <w:b/>
                <w:color w:val="000000" w:themeColor="text1"/>
                <w:spacing w:val="-7"/>
                <w:sz w:val="22"/>
              </w:rPr>
              <w:lastRenderedPageBreak/>
              <w:t>Opérations</w:t>
            </w:r>
          </w:p>
        </w:tc>
        <w:tc>
          <w:tcPr>
            <w:tcW w:w="4253" w:type="dxa"/>
            <w:tcBorders>
              <w:bottom w:val="single" w:sz="4" w:space="0" w:color="auto"/>
            </w:tcBorders>
            <w:vAlign w:val="center"/>
          </w:tcPr>
          <w:p w:rsidR="00C95CCC" w:rsidRPr="00914AB5" w:rsidRDefault="00C95CCC" w:rsidP="0080231D">
            <w:pPr>
              <w:jc w:val="center"/>
              <w:rPr>
                <w:b/>
                <w:color w:val="000000" w:themeColor="text1"/>
                <w:spacing w:val="-7"/>
                <w:sz w:val="22"/>
              </w:rPr>
            </w:pPr>
            <w:r w:rsidRPr="00914AB5">
              <w:rPr>
                <w:b/>
                <w:color w:val="000000" w:themeColor="text1"/>
                <w:spacing w:val="-7"/>
                <w:sz w:val="22"/>
              </w:rPr>
              <w:t>Justifications</w:t>
            </w:r>
          </w:p>
        </w:tc>
        <w:tc>
          <w:tcPr>
            <w:tcW w:w="1134" w:type="dxa"/>
            <w:tcBorders>
              <w:bottom w:val="single" w:sz="4" w:space="0" w:color="auto"/>
            </w:tcBorders>
            <w:vAlign w:val="center"/>
          </w:tcPr>
          <w:p w:rsidR="00C95CCC" w:rsidRPr="00914AB5" w:rsidRDefault="00C95CCC" w:rsidP="00C95CCC">
            <w:pPr>
              <w:jc w:val="center"/>
              <w:rPr>
                <w:b/>
                <w:color w:val="000000" w:themeColor="text1"/>
                <w:spacing w:val="-7"/>
                <w:sz w:val="22"/>
              </w:rPr>
            </w:pPr>
            <w:r w:rsidRPr="00914AB5">
              <w:rPr>
                <w:b/>
                <w:color w:val="000000" w:themeColor="text1"/>
                <w:spacing w:val="-7"/>
                <w:sz w:val="22"/>
              </w:rPr>
              <w:t>TVA exigible</w:t>
            </w:r>
          </w:p>
        </w:tc>
        <w:tc>
          <w:tcPr>
            <w:tcW w:w="1183" w:type="dxa"/>
            <w:tcBorders>
              <w:bottom w:val="single" w:sz="4" w:space="0" w:color="auto"/>
            </w:tcBorders>
            <w:vAlign w:val="center"/>
          </w:tcPr>
          <w:p w:rsidR="00C95CCC" w:rsidRPr="00914AB5" w:rsidRDefault="00C95CCC" w:rsidP="00C95CCC">
            <w:pPr>
              <w:jc w:val="center"/>
              <w:rPr>
                <w:b/>
                <w:color w:val="000000" w:themeColor="text1"/>
                <w:spacing w:val="-7"/>
                <w:sz w:val="22"/>
              </w:rPr>
            </w:pPr>
            <w:r w:rsidRPr="00914AB5">
              <w:rPr>
                <w:b/>
                <w:color w:val="000000" w:themeColor="text1"/>
                <w:spacing w:val="-7"/>
                <w:sz w:val="22"/>
              </w:rPr>
              <w:t>TVA déductible</w:t>
            </w:r>
          </w:p>
        </w:tc>
      </w:tr>
      <w:tr w:rsidR="00C95CCC" w:rsidRPr="00914AB5" w:rsidTr="00C95CCC">
        <w:tc>
          <w:tcPr>
            <w:tcW w:w="3402" w:type="dxa"/>
            <w:tcBorders>
              <w:top w:val="single" w:sz="4" w:space="0" w:color="auto"/>
            </w:tcBorders>
            <w:vAlign w:val="center"/>
          </w:tcPr>
          <w:p w:rsidR="00C95CCC" w:rsidRPr="00914AB5" w:rsidRDefault="00C95CCC" w:rsidP="00914AB5">
            <w:pPr>
              <w:jc w:val="left"/>
              <w:rPr>
                <w:color w:val="FF0000"/>
                <w:spacing w:val="-7"/>
                <w:sz w:val="20"/>
                <w:szCs w:val="20"/>
              </w:rPr>
            </w:pPr>
            <w:r w:rsidRPr="00914AB5">
              <w:rPr>
                <w:color w:val="000000" w:themeColor="text1"/>
                <w:spacing w:val="-7"/>
                <w:sz w:val="20"/>
                <w:szCs w:val="20"/>
              </w:rPr>
              <w:t xml:space="preserve">2.3) Ensemble informatique </w:t>
            </w:r>
          </w:p>
        </w:tc>
        <w:tc>
          <w:tcPr>
            <w:tcW w:w="4253" w:type="dxa"/>
            <w:vAlign w:val="center"/>
          </w:tcPr>
          <w:p w:rsidR="00C95CCC" w:rsidRPr="00914AB5" w:rsidRDefault="00C95CCC" w:rsidP="00C95CCC">
            <w:pPr>
              <w:jc w:val="left"/>
              <w:rPr>
                <w:color w:val="000000" w:themeColor="text1"/>
                <w:spacing w:val="-7"/>
                <w:sz w:val="20"/>
                <w:szCs w:val="20"/>
              </w:rPr>
            </w:pPr>
          </w:p>
          <w:p w:rsidR="00C95CCC" w:rsidRPr="00914AB5" w:rsidRDefault="00C95CCC" w:rsidP="00C95CCC">
            <w:pPr>
              <w:jc w:val="left"/>
              <w:rPr>
                <w:color w:val="000000" w:themeColor="text1"/>
                <w:spacing w:val="-7"/>
                <w:sz w:val="20"/>
                <w:szCs w:val="20"/>
              </w:rPr>
            </w:pPr>
            <w:r w:rsidRPr="00914AB5">
              <w:rPr>
                <w:color w:val="000000" w:themeColor="text1"/>
                <w:spacing w:val="-7"/>
                <w:sz w:val="20"/>
                <w:szCs w:val="20"/>
              </w:rPr>
              <w:t xml:space="preserve">TVA collectée = 1 300 x 20 % = 260 € </w:t>
            </w:r>
          </w:p>
          <w:p w:rsidR="00C95CCC" w:rsidRPr="00914AB5" w:rsidRDefault="00C95CCC" w:rsidP="00C95CCC">
            <w:pPr>
              <w:jc w:val="left"/>
              <w:rPr>
                <w:color w:val="000000" w:themeColor="text1"/>
                <w:spacing w:val="-7"/>
                <w:sz w:val="20"/>
                <w:szCs w:val="20"/>
              </w:rPr>
            </w:pPr>
            <w:r w:rsidRPr="00914AB5">
              <w:rPr>
                <w:color w:val="000000" w:themeColor="text1"/>
                <w:spacing w:val="-7"/>
                <w:sz w:val="20"/>
                <w:szCs w:val="20"/>
              </w:rPr>
              <w:t xml:space="preserve">Cession soumise à TVA dans le délai de régularisation et TVA partiellement déduite à l’achat. </w:t>
            </w:r>
          </w:p>
          <w:p w:rsidR="00C95CCC" w:rsidRPr="00914AB5" w:rsidRDefault="00C95CCC" w:rsidP="00C95CCC">
            <w:pPr>
              <w:jc w:val="left"/>
              <w:rPr>
                <w:color w:val="000000" w:themeColor="text1"/>
                <w:spacing w:val="-7"/>
                <w:sz w:val="20"/>
                <w:szCs w:val="20"/>
              </w:rPr>
            </w:pPr>
            <w:r w:rsidRPr="00914AB5">
              <w:rPr>
                <w:color w:val="000000" w:themeColor="text1"/>
                <w:spacing w:val="-7"/>
                <w:sz w:val="20"/>
                <w:szCs w:val="20"/>
              </w:rPr>
              <w:t>Complément de TVA déductible = TVA non déduite à l’achat x 2/5</w:t>
            </w:r>
          </w:p>
          <w:p w:rsidR="00C95CCC" w:rsidRPr="00914AB5" w:rsidRDefault="00C95CCC" w:rsidP="00C95CCC">
            <w:pPr>
              <w:jc w:val="left"/>
              <w:rPr>
                <w:color w:val="000000" w:themeColor="text1"/>
                <w:spacing w:val="-7"/>
                <w:sz w:val="20"/>
                <w:szCs w:val="20"/>
              </w:rPr>
            </w:pPr>
            <w:r w:rsidRPr="00914AB5">
              <w:rPr>
                <w:color w:val="000000" w:themeColor="text1"/>
                <w:spacing w:val="-7"/>
                <w:sz w:val="20"/>
                <w:szCs w:val="20"/>
              </w:rPr>
              <w:t xml:space="preserve">= 3051/1,196 x 19,6% x (1- 0,67) x 2/5 = 66 € </w:t>
            </w:r>
          </w:p>
          <w:p w:rsidR="00C95CCC" w:rsidRPr="00914AB5" w:rsidRDefault="00C95CCC" w:rsidP="00C95CCC">
            <w:pPr>
              <w:jc w:val="left"/>
              <w:rPr>
                <w:color w:val="000000" w:themeColor="text1"/>
                <w:spacing w:val="-7"/>
                <w:sz w:val="20"/>
                <w:szCs w:val="20"/>
              </w:rPr>
            </w:pPr>
          </w:p>
        </w:tc>
        <w:tc>
          <w:tcPr>
            <w:tcW w:w="1134" w:type="dxa"/>
            <w:vAlign w:val="center"/>
          </w:tcPr>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260</w:t>
            </w:r>
          </w:p>
        </w:tc>
        <w:tc>
          <w:tcPr>
            <w:tcW w:w="1183" w:type="dxa"/>
            <w:vAlign w:val="center"/>
          </w:tcPr>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66</w:t>
            </w:r>
          </w:p>
        </w:tc>
      </w:tr>
      <w:tr w:rsidR="00C95CCC" w:rsidRPr="00914AB5" w:rsidTr="00810ADD">
        <w:trPr>
          <w:trHeight w:hRule="exact" w:val="397"/>
        </w:trPr>
        <w:tc>
          <w:tcPr>
            <w:tcW w:w="3402" w:type="dxa"/>
            <w:tcBorders>
              <w:bottom w:val="nil"/>
            </w:tcBorders>
            <w:vAlign w:val="center"/>
          </w:tcPr>
          <w:p w:rsidR="00C95CCC" w:rsidRPr="00914AB5" w:rsidRDefault="00C95CCC" w:rsidP="00914AB5">
            <w:pPr>
              <w:jc w:val="left"/>
              <w:rPr>
                <w:b/>
                <w:color w:val="000000" w:themeColor="text1"/>
                <w:spacing w:val="-7"/>
                <w:sz w:val="22"/>
              </w:rPr>
            </w:pPr>
            <w:r w:rsidRPr="00914AB5">
              <w:rPr>
                <w:b/>
                <w:color w:val="000000" w:themeColor="text1"/>
                <w:spacing w:val="-7"/>
                <w:sz w:val="22"/>
              </w:rPr>
              <w:t xml:space="preserve">3- Opérations diverses </w:t>
            </w:r>
          </w:p>
        </w:tc>
        <w:tc>
          <w:tcPr>
            <w:tcW w:w="4253" w:type="dxa"/>
            <w:vMerge w:val="restart"/>
            <w:vAlign w:val="center"/>
          </w:tcPr>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 xml:space="preserve">TVA non déductible pour le secteur Ambulances </w:t>
            </w:r>
          </w:p>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TVA déductible à la livraison pour le secteur Taxis</w:t>
            </w:r>
          </w:p>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 650x 20 % = 130 €</w:t>
            </w:r>
          </w:p>
        </w:tc>
        <w:tc>
          <w:tcPr>
            <w:tcW w:w="1134" w:type="dxa"/>
            <w:tcBorders>
              <w:bottom w:val="nil"/>
            </w:tcBorders>
            <w:vAlign w:val="center"/>
          </w:tcPr>
          <w:p w:rsidR="00C95CCC" w:rsidRPr="00914AB5" w:rsidRDefault="00C95CCC" w:rsidP="00C95CCC">
            <w:pPr>
              <w:jc w:val="center"/>
              <w:rPr>
                <w:color w:val="000000" w:themeColor="text1"/>
                <w:spacing w:val="-7"/>
                <w:sz w:val="20"/>
                <w:szCs w:val="20"/>
              </w:rPr>
            </w:pPr>
          </w:p>
        </w:tc>
        <w:tc>
          <w:tcPr>
            <w:tcW w:w="1183" w:type="dxa"/>
            <w:tcBorders>
              <w:bottom w:val="nil"/>
            </w:tcBorders>
            <w:vAlign w:val="center"/>
          </w:tcPr>
          <w:p w:rsidR="00C95CCC" w:rsidRPr="00914AB5" w:rsidRDefault="00C95CCC" w:rsidP="00C95CCC">
            <w:pPr>
              <w:jc w:val="center"/>
              <w:rPr>
                <w:color w:val="000000" w:themeColor="text1"/>
                <w:spacing w:val="-7"/>
                <w:sz w:val="20"/>
                <w:szCs w:val="20"/>
              </w:rPr>
            </w:pPr>
          </w:p>
        </w:tc>
      </w:tr>
      <w:tr w:rsidR="00C95CCC" w:rsidRPr="00914AB5" w:rsidTr="00810ADD">
        <w:trPr>
          <w:trHeight w:val="780"/>
        </w:trPr>
        <w:tc>
          <w:tcPr>
            <w:tcW w:w="3402" w:type="dxa"/>
            <w:tcBorders>
              <w:top w:val="nil"/>
              <w:bottom w:val="single" w:sz="4" w:space="0" w:color="auto"/>
            </w:tcBorders>
            <w:vAlign w:val="center"/>
          </w:tcPr>
          <w:p w:rsidR="00C95CCC" w:rsidRPr="00914AB5" w:rsidRDefault="00C95CCC" w:rsidP="00E90D09">
            <w:pPr>
              <w:jc w:val="left"/>
              <w:rPr>
                <w:color w:val="FF0000"/>
                <w:spacing w:val="-7"/>
                <w:sz w:val="20"/>
                <w:szCs w:val="20"/>
              </w:rPr>
            </w:pPr>
            <w:r w:rsidRPr="00914AB5">
              <w:rPr>
                <w:color w:val="000000" w:themeColor="text1"/>
                <w:spacing w:val="-7"/>
                <w:sz w:val="20"/>
                <w:szCs w:val="20"/>
              </w:rPr>
              <w:t>3.1) Factures de gazole</w:t>
            </w:r>
          </w:p>
        </w:tc>
        <w:tc>
          <w:tcPr>
            <w:tcW w:w="4253" w:type="dxa"/>
            <w:vMerge/>
            <w:vAlign w:val="center"/>
          </w:tcPr>
          <w:p w:rsidR="00C95CCC" w:rsidRPr="00914AB5" w:rsidRDefault="00C95CCC" w:rsidP="00810ADD">
            <w:pPr>
              <w:jc w:val="left"/>
              <w:rPr>
                <w:color w:val="000000" w:themeColor="text1"/>
                <w:spacing w:val="-7"/>
                <w:sz w:val="20"/>
                <w:szCs w:val="20"/>
              </w:rPr>
            </w:pPr>
          </w:p>
        </w:tc>
        <w:tc>
          <w:tcPr>
            <w:tcW w:w="1134" w:type="dxa"/>
            <w:tcBorders>
              <w:top w:val="nil"/>
            </w:tcBorders>
            <w:vAlign w:val="center"/>
          </w:tcPr>
          <w:p w:rsidR="00C95CCC" w:rsidRPr="00914AB5" w:rsidRDefault="00C95CCC" w:rsidP="00C95CCC">
            <w:pPr>
              <w:jc w:val="center"/>
              <w:rPr>
                <w:color w:val="000000" w:themeColor="text1"/>
                <w:spacing w:val="-7"/>
                <w:sz w:val="20"/>
                <w:szCs w:val="20"/>
              </w:rPr>
            </w:pPr>
          </w:p>
        </w:tc>
        <w:tc>
          <w:tcPr>
            <w:tcW w:w="1183" w:type="dxa"/>
            <w:tcBorders>
              <w:top w:val="nil"/>
            </w:tcBorders>
            <w:vAlign w:val="center"/>
          </w:tcPr>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130</w:t>
            </w:r>
          </w:p>
        </w:tc>
      </w:tr>
      <w:tr w:rsidR="00C95CCC" w:rsidRPr="00914AB5" w:rsidTr="00810ADD">
        <w:trPr>
          <w:trHeight w:val="678"/>
        </w:trPr>
        <w:tc>
          <w:tcPr>
            <w:tcW w:w="3402" w:type="dxa"/>
            <w:tcBorders>
              <w:top w:val="single" w:sz="4" w:space="0" w:color="auto"/>
              <w:bottom w:val="single" w:sz="4" w:space="0" w:color="auto"/>
            </w:tcBorders>
            <w:vAlign w:val="center"/>
          </w:tcPr>
          <w:p w:rsidR="00C95CCC" w:rsidRPr="00914AB5" w:rsidRDefault="00C95CCC" w:rsidP="00E90D09">
            <w:pPr>
              <w:jc w:val="left"/>
              <w:rPr>
                <w:color w:val="FF0000"/>
                <w:spacing w:val="-7"/>
                <w:sz w:val="20"/>
                <w:szCs w:val="20"/>
              </w:rPr>
            </w:pPr>
            <w:r w:rsidRPr="00914AB5">
              <w:rPr>
                <w:color w:val="000000" w:themeColor="text1"/>
                <w:spacing w:val="-7"/>
                <w:sz w:val="20"/>
                <w:szCs w:val="20"/>
              </w:rPr>
              <w:t xml:space="preserve">3.2) Fournitures médicales </w:t>
            </w:r>
          </w:p>
        </w:tc>
        <w:tc>
          <w:tcPr>
            <w:tcW w:w="4253" w:type="dxa"/>
            <w:vAlign w:val="center"/>
          </w:tcPr>
          <w:p w:rsidR="00C95CCC" w:rsidRPr="00914AB5" w:rsidRDefault="00C95CCC" w:rsidP="00810ADD">
            <w:pPr>
              <w:jc w:val="left"/>
              <w:rPr>
                <w:color w:val="FF0000"/>
                <w:spacing w:val="-7"/>
                <w:sz w:val="20"/>
                <w:szCs w:val="20"/>
              </w:rPr>
            </w:pPr>
            <w:r w:rsidRPr="00914AB5">
              <w:rPr>
                <w:color w:val="000000" w:themeColor="text1"/>
                <w:spacing w:val="-7"/>
                <w:sz w:val="20"/>
                <w:szCs w:val="20"/>
              </w:rPr>
              <w:t xml:space="preserve"> Pour secteur exonéré, donc TVA non déductible.</w:t>
            </w:r>
          </w:p>
        </w:tc>
        <w:tc>
          <w:tcPr>
            <w:tcW w:w="1134" w:type="dxa"/>
            <w:vAlign w:val="center"/>
          </w:tcPr>
          <w:p w:rsidR="00C95CCC" w:rsidRPr="00914AB5" w:rsidRDefault="00C95CCC" w:rsidP="00C95CCC">
            <w:pPr>
              <w:jc w:val="center"/>
              <w:rPr>
                <w:color w:val="000000" w:themeColor="text1"/>
                <w:spacing w:val="-7"/>
                <w:sz w:val="20"/>
                <w:szCs w:val="20"/>
              </w:rPr>
            </w:pPr>
          </w:p>
        </w:tc>
        <w:tc>
          <w:tcPr>
            <w:tcW w:w="1183" w:type="dxa"/>
            <w:vAlign w:val="center"/>
          </w:tcPr>
          <w:p w:rsidR="00C95CCC" w:rsidRPr="00914AB5" w:rsidRDefault="00C95CCC" w:rsidP="00C95CCC">
            <w:pPr>
              <w:jc w:val="center"/>
              <w:rPr>
                <w:color w:val="000000" w:themeColor="text1"/>
                <w:spacing w:val="-7"/>
                <w:sz w:val="20"/>
                <w:szCs w:val="20"/>
              </w:rPr>
            </w:pPr>
          </w:p>
        </w:tc>
      </w:tr>
      <w:tr w:rsidR="00C95CCC" w:rsidRPr="00914AB5" w:rsidTr="00810ADD">
        <w:trPr>
          <w:trHeight w:val="716"/>
        </w:trPr>
        <w:tc>
          <w:tcPr>
            <w:tcW w:w="3402" w:type="dxa"/>
            <w:tcBorders>
              <w:top w:val="single" w:sz="4" w:space="0" w:color="auto"/>
              <w:bottom w:val="single" w:sz="4" w:space="0" w:color="auto"/>
            </w:tcBorders>
            <w:vAlign w:val="center"/>
          </w:tcPr>
          <w:p w:rsidR="00C95CCC" w:rsidRPr="00914AB5" w:rsidRDefault="00C95CCC" w:rsidP="00E90D09">
            <w:pPr>
              <w:jc w:val="left"/>
              <w:rPr>
                <w:color w:val="FF0000"/>
                <w:spacing w:val="-7"/>
                <w:sz w:val="20"/>
                <w:szCs w:val="20"/>
              </w:rPr>
            </w:pPr>
            <w:r w:rsidRPr="00914AB5">
              <w:rPr>
                <w:color w:val="000000" w:themeColor="text1"/>
                <w:spacing w:val="-7"/>
                <w:sz w:val="20"/>
                <w:szCs w:val="20"/>
              </w:rPr>
              <w:t>3.3) Factures d’entretien des véhicules</w:t>
            </w:r>
          </w:p>
        </w:tc>
        <w:tc>
          <w:tcPr>
            <w:tcW w:w="4253" w:type="dxa"/>
            <w:vAlign w:val="center"/>
          </w:tcPr>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TVA non déductible pour l’entretien de l’ambulance.</w:t>
            </w:r>
          </w:p>
        </w:tc>
        <w:tc>
          <w:tcPr>
            <w:tcW w:w="1134" w:type="dxa"/>
            <w:vAlign w:val="center"/>
          </w:tcPr>
          <w:p w:rsidR="00C95CCC" w:rsidRPr="00914AB5" w:rsidRDefault="00C95CCC" w:rsidP="00C95CCC">
            <w:pPr>
              <w:jc w:val="center"/>
              <w:rPr>
                <w:color w:val="000000" w:themeColor="text1"/>
                <w:spacing w:val="-7"/>
                <w:sz w:val="20"/>
                <w:szCs w:val="20"/>
              </w:rPr>
            </w:pPr>
          </w:p>
        </w:tc>
        <w:tc>
          <w:tcPr>
            <w:tcW w:w="1183" w:type="dxa"/>
            <w:vAlign w:val="center"/>
          </w:tcPr>
          <w:p w:rsidR="00C95CCC" w:rsidRPr="00914AB5" w:rsidRDefault="00C95CCC" w:rsidP="00C95CCC">
            <w:pPr>
              <w:jc w:val="center"/>
              <w:rPr>
                <w:color w:val="000000" w:themeColor="text1"/>
                <w:spacing w:val="-7"/>
                <w:sz w:val="20"/>
                <w:szCs w:val="20"/>
              </w:rPr>
            </w:pPr>
          </w:p>
        </w:tc>
      </w:tr>
      <w:tr w:rsidR="00C95CCC" w:rsidRPr="00914AB5" w:rsidTr="00810ADD">
        <w:trPr>
          <w:trHeight w:val="839"/>
        </w:trPr>
        <w:tc>
          <w:tcPr>
            <w:tcW w:w="3402" w:type="dxa"/>
            <w:tcBorders>
              <w:top w:val="single" w:sz="4" w:space="0" w:color="auto"/>
              <w:bottom w:val="single" w:sz="4" w:space="0" w:color="auto"/>
            </w:tcBorders>
            <w:vAlign w:val="center"/>
          </w:tcPr>
          <w:p w:rsidR="00C95CCC" w:rsidRPr="00914AB5" w:rsidRDefault="00C95CCC" w:rsidP="00E90D09">
            <w:pPr>
              <w:jc w:val="left"/>
              <w:rPr>
                <w:color w:val="000000" w:themeColor="text1"/>
                <w:spacing w:val="-7"/>
                <w:sz w:val="20"/>
                <w:szCs w:val="20"/>
              </w:rPr>
            </w:pPr>
            <w:r w:rsidRPr="00914AB5">
              <w:rPr>
                <w:color w:val="000000" w:themeColor="text1"/>
                <w:spacing w:val="-7"/>
                <w:sz w:val="20"/>
                <w:szCs w:val="20"/>
              </w:rPr>
              <w:t>3.4) Factures d’entretien des véhicules</w:t>
            </w:r>
          </w:p>
        </w:tc>
        <w:tc>
          <w:tcPr>
            <w:tcW w:w="4253" w:type="dxa"/>
            <w:vAlign w:val="center"/>
          </w:tcPr>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TVA déductible au  paiement pour l’entretien des 2 taxis = 545 x 20 % = 109 €</w:t>
            </w:r>
          </w:p>
        </w:tc>
        <w:tc>
          <w:tcPr>
            <w:tcW w:w="1134" w:type="dxa"/>
            <w:vAlign w:val="center"/>
          </w:tcPr>
          <w:p w:rsidR="00C95CCC" w:rsidRPr="00914AB5" w:rsidRDefault="00C95CCC" w:rsidP="00C95CCC">
            <w:pPr>
              <w:jc w:val="center"/>
              <w:rPr>
                <w:color w:val="000000" w:themeColor="text1"/>
                <w:spacing w:val="-7"/>
                <w:sz w:val="20"/>
                <w:szCs w:val="20"/>
              </w:rPr>
            </w:pPr>
          </w:p>
        </w:tc>
        <w:tc>
          <w:tcPr>
            <w:tcW w:w="1183" w:type="dxa"/>
            <w:vAlign w:val="center"/>
          </w:tcPr>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109</w:t>
            </w:r>
          </w:p>
        </w:tc>
      </w:tr>
      <w:tr w:rsidR="00C95CCC" w:rsidRPr="00914AB5" w:rsidTr="00810ADD">
        <w:trPr>
          <w:trHeight w:val="682"/>
        </w:trPr>
        <w:tc>
          <w:tcPr>
            <w:tcW w:w="3402" w:type="dxa"/>
            <w:tcBorders>
              <w:top w:val="single" w:sz="4" w:space="0" w:color="auto"/>
              <w:bottom w:val="single" w:sz="4" w:space="0" w:color="auto"/>
            </w:tcBorders>
            <w:vAlign w:val="center"/>
          </w:tcPr>
          <w:p w:rsidR="00C95CCC" w:rsidRPr="00914AB5" w:rsidRDefault="00C95CCC" w:rsidP="00E90D09">
            <w:pPr>
              <w:jc w:val="left"/>
              <w:rPr>
                <w:color w:val="FF0000"/>
                <w:spacing w:val="-7"/>
                <w:sz w:val="20"/>
                <w:szCs w:val="20"/>
              </w:rPr>
            </w:pPr>
            <w:r w:rsidRPr="00914AB5">
              <w:rPr>
                <w:color w:val="000000" w:themeColor="text1"/>
                <w:spacing w:val="-7"/>
                <w:sz w:val="20"/>
                <w:szCs w:val="20"/>
              </w:rPr>
              <w:t xml:space="preserve">3.5) Amende pour excès de vitesse </w:t>
            </w:r>
          </w:p>
        </w:tc>
        <w:tc>
          <w:tcPr>
            <w:tcW w:w="4253" w:type="dxa"/>
            <w:vAlign w:val="center"/>
          </w:tcPr>
          <w:p w:rsidR="00C95CCC" w:rsidRPr="00914AB5" w:rsidRDefault="00C95CCC" w:rsidP="00810ADD">
            <w:pPr>
              <w:jc w:val="left"/>
              <w:rPr>
                <w:color w:val="FF0000"/>
                <w:spacing w:val="-7"/>
                <w:sz w:val="20"/>
                <w:szCs w:val="20"/>
              </w:rPr>
            </w:pPr>
            <w:r w:rsidRPr="00914AB5">
              <w:rPr>
                <w:color w:val="000000" w:themeColor="text1"/>
                <w:spacing w:val="-7"/>
                <w:sz w:val="20"/>
                <w:szCs w:val="20"/>
              </w:rPr>
              <w:t>Pas de TVA facturée donc pas de TVA déductible.</w:t>
            </w:r>
          </w:p>
        </w:tc>
        <w:tc>
          <w:tcPr>
            <w:tcW w:w="1134" w:type="dxa"/>
            <w:vAlign w:val="center"/>
          </w:tcPr>
          <w:p w:rsidR="00C95CCC" w:rsidRPr="00914AB5" w:rsidRDefault="00C95CCC" w:rsidP="00C95CCC">
            <w:pPr>
              <w:jc w:val="center"/>
              <w:rPr>
                <w:color w:val="000000" w:themeColor="text1"/>
                <w:spacing w:val="-7"/>
                <w:sz w:val="20"/>
                <w:szCs w:val="20"/>
              </w:rPr>
            </w:pPr>
          </w:p>
        </w:tc>
        <w:tc>
          <w:tcPr>
            <w:tcW w:w="1183" w:type="dxa"/>
            <w:vAlign w:val="center"/>
          </w:tcPr>
          <w:p w:rsidR="00C95CCC" w:rsidRPr="00914AB5" w:rsidRDefault="00C95CCC" w:rsidP="00C95CCC">
            <w:pPr>
              <w:jc w:val="center"/>
              <w:rPr>
                <w:color w:val="000000" w:themeColor="text1"/>
                <w:spacing w:val="-7"/>
                <w:sz w:val="20"/>
                <w:szCs w:val="20"/>
              </w:rPr>
            </w:pPr>
          </w:p>
        </w:tc>
      </w:tr>
      <w:tr w:rsidR="00C95CCC" w:rsidRPr="00914AB5" w:rsidTr="00810ADD">
        <w:trPr>
          <w:trHeight w:val="1131"/>
        </w:trPr>
        <w:tc>
          <w:tcPr>
            <w:tcW w:w="3402" w:type="dxa"/>
            <w:tcBorders>
              <w:top w:val="single" w:sz="4" w:space="0" w:color="auto"/>
              <w:bottom w:val="single" w:sz="4" w:space="0" w:color="auto"/>
            </w:tcBorders>
            <w:vAlign w:val="center"/>
          </w:tcPr>
          <w:p w:rsidR="00C95CCC" w:rsidRPr="00914AB5" w:rsidRDefault="00C95CCC" w:rsidP="00E90D09">
            <w:pPr>
              <w:jc w:val="left"/>
              <w:rPr>
                <w:color w:val="FF0000"/>
                <w:spacing w:val="-7"/>
                <w:sz w:val="20"/>
                <w:szCs w:val="20"/>
              </w:rPr>
            </w:pPr>
            <w:r w:rsidRPr="00914AB5">
              <w:rPr>
                <w:color w:val="000000" w:themeColor="text1"/>
                <w:spacing w:val="-7"/>
                <w:sz w:val="20"/>
                <w:szCs w:val="20"/>
              </w:rPr>
              <w:t>3.6) Honoraires de l’expert-comptable</w:t>
            </w:r>
          </w:p>
        </w:tc>
        <w:tc>
          <w:tcPr>
            <w:tcW w:w="4253" w:type="dxa"/>
            <w:vAlign w:val="center"/>
          </w:tcPr>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TVA déductible à la facturation (option débit) et charge commune aux 2 activités.</w:t>
            </w:r>
          </w:p>
          <w:p w:rsidR="00C95CCC" w:rsidRPr="00914AB5" w:rsidRDefault="00C95CCC" w:rsidP="00810ADD">
            <w:pPr>
              <w:jc w:val="left"/>
              <w:rPr>
                <w:color w:val="FF0000"/>
                <w:spacing w:val="-7"/>
                <w:sz w:val="20"/>
                <w:szCs w:val="20"/>
              </w:rPr>
            </w:pPr>
            <w:r w:rsidRPr="00914AB5">
              <w:rPr>
                <w:color w:val="000000" w:themeColor="text1"/>
                <w:spacing w:val="-7"/>
                <w:sz w:val="20"/>
                <w:szCs w:val="20"/>
              </w:rPr>
              <w:t>TVA déductible = (1 400 x 20 %) x 0,60 = 168 €</w:t>
            </w:r>
          </w:p>
        </w:tc>
        <w:tc>
          <w:tcPr>
            <w:tcW w:w="1134" w:type="dxa"/>
            <w:vAlign w:val="center"/>
          </w:tcPr>
          <w:p w:rsidR="00C95CCC" w:rsidRPr="00914AB5" w:rsidRDefault="00C95CCC" w:rsidP="00C95CCC">
            <w:pPr>
              <w:jc w:val="center"/>
              <w:rPr>
                <w:color w:val="000000" w:themeColor="text1"/>
                <w:spacing w:val="-7"/>
                <w:sz w:val="20"/>
                <w:szCs w:val="20"/>
              </w:rPr>
            </w:pPr>
          </w:p>
        </w:tc>
        <w:tc>
          <w:tcPr>
            <w:tcW w:w="1183" w:type="dxa"/>
            <w:vAlign w:val="center"/>
          </w:tcPr>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168</w:t>
            </w:r>
          </w:p>
        </w:tc>
      </w:tr>
      <w:tr w:rsidR="00C95CCC" w:rsidRPr="00914AB5" w:rsidTr="00810ADD">
        <w:trPr>
          <w:trHeight w:val="977"/>
        </w:trPr>
        <w:tc>
          <w:tcPr>
            <w:tcW w:w="3402" w:type="dxa"/>
            <w:tcBorders>
              <w:top w:val="single" w:sz="4" w:space="0" w:color="auto"/>
              <w:bottom w:val="single" w:sz="4" w:space="0" w:color="auto"/>
            </w:tcBorders>
            <w:vAlign w:val="center"/>
          </w:tcPr>
          <w:p w:rsidR="00C95CCC" w:rsidRPr="00914AB5" w:rsidRDefault="00C95CCC" w:rsidP="00E90D09">
            <w:pPr>
              <w:jc w:val="left"/>
              <w:rPr>
                <w:color w:val="FF0000"/>
                <w:spacing w:val="-7"/>
                <w:sz w:val="20"/>
                <w:szCs w:val="20"/>
              </w:rPr>
            </w:pPr>
            <w:r w:rsidRPr="00914AB5">
              <w:rPr>
                <w:color w:val="000000" w:themeColor="text1"/>
                <w:spacing w:val="-7"/>
                <w:sz w:val="20"/>
                <w:szCs w:val="20"/>
              </w:rPr>
              <w:t>3.7) Services divers</w:t>
            </w:r>
          </w:p>
        </w:tc>
        <w:tc>
          <w:tcPr>
            <w:tcW w:w="4253" w:type="dxa"/>
            <w:tcBorders>
              <w:bottom w:val="single" w:sz="4" w:space="0" w:color="auto"/>
            </w:tcBorders>
            <w:vAlign w:val="center"/>
          </w:tcPr>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 xml:space="preserve">Communs aux 2 secteurs. TVA déductible au paiement = (2700/1,2 x 20%) x 0,60 = 270 € </w:t>
            </w:r>
          </w:p>
        </w:tc>
        <w:tc>
          <w:tcPr>
            <w:tcW w:w="1134" w:type="dxa"/>
            <w:tcBorders>
              <w:bottom w:val="single" w:sz="4" w:space="0" w:color="auto"/>
            </w:tcBorders>
            <w:vAlign w:val="center"/>
          </w:tcPr>
          <w:p w:rsidR="00C95CCC" w:rsidRPr="00914AB5" w:rsidRDefault="00C95CCC" w:rsidP="00C95CCC">
            <w:pPr>
              <w:jc w:val="center"/>
              <w:rPr>
                <w:color w:val="000000" w:themeColor="text1"/>
                <w:spacing w:val="-7"/>
                <w:sz w:val="20"/>
                <w:szCs w:val="20"/>
              </w:rPr>
            </w:pPr>
          </w:p>
        </w:tc>
        <w:tc>
          <w:tcPr>
            <w:tcW w:w="1183" w:type="dxa"/>
            <w:tcBorders>
              <w:bottom w:val="single" w:sz="4" w:space="0" w:color="auto"/>
            </w:tcBorders>
            <w:vAlign w:val="center"/>
          </w:tcPr>
          <w:p w:rsidR="00C95CCC" w:rsidRPr="00914AB5" w:rsidRDefault="00C95CCC" w:rsidP="00C95CCC">
            <w:pPr>
              <w:jc w:val="center"/>
              <w:rPr>
                <w:color w:val="000000" w:themeColor="text1"/>
                <w:spacing w:val="-7"/>
                <w:sz w:val="20"/>
                <w:szCs w:val="20"/>
              </w:rPr>
            </w:pPr>
          </w:p>
          <w:p w:rsidR="00C95CCC" w:rsidRPr="00914AB5" w:rsidRDefault="00C95CCC" w:rsidP="00C95CCC">
            <w:pPr>
              <w:jc w:val="center"/>
              <w:rPr>
                <w:color w:val="000000" w:themeColor="text1"/>
                <w:spacing w:val="-7"/>
                <w:sz w:val="20"/>
                <w:szCs w:val="20"/>
              </w:rPr>
            </w:pPr>
            <w:r w:rsidRPr="00914AB5">
              <w:rPr>
                <w:color w:val="000000" w:themeColor="text1"/>
                <w:spacing w:val="-7"/>
                <w:sz w:val="20"/>
                <w:szCs w:val="20"/>
              </w:rPr>
              <w:t>270</w:t>
            </w:r>
          </w:p>
        </w:tc>
      </w:tr>
      <w:tr w:rsidR="00C95CCC" w:rsidRPr="00914AB5" w:rsidTr="00810ADD">
        <w:trPr>
          <w:trHeight w:val="403"/>
        </w:trPr>
        <w:tc>
          <w:tcPr>
            <w:tcW w:w="3402" w:type="dxa"/>
            <w:vAlign w:val="center"/>
          </w:tcPr>
          <w:p w:rsidR="00C95CCC" w:rsidRPr="00914AB5" w:rsidRDefault="00C95CCC" w:rsidP="00E90D09">
            <w:pPr>
              <w:jc w:val="center"/>
              <w:rPr>
                <w:color w:val="000000" w:themeColor="text1"/>
                <w:spacing w:val="-7"/>
                <w:sz w:val="20"/>
                <w:szCs w:val="20"/>
              </w:rPr>
            </w:pPr>
          </w:p>
        </w:tc>
        <w:tc>
          <w:tcPr>
            <w:tcW w:w="4253" w:type="dxa"/>
            <w:vAlign w:val="center"/>
          </w:tcPr>
          <w:p w:rsidR="00C95CCC" w:rsidRPr="00914AB5" w:rsidRDefault="00C95CCC" w:rsidP="00810ADD">
            <w:pPr>
              <w:jc w:val="left"/>
              <w:rPr>
                <w:color w:val="000000" w:themeColor="text1"/>
                <w:spacing w:val="-7"/>
                <w:sz w:val="20"/>
                <w:szCs w:val="20"/>
              </w:rPr>
            </w:pPr>
            <w:r w:rsidRPr="00914AB5">
              <w:rPr>
                <w:color w:val="000000" w:themeColor="text1"/>
                <w:spacing w:val="-7"/>
                <w:sz w:val="20"/>
                <w:szCs w:val="20"/>
              </w:rPr>
              <w:t>Totaux</w:t>
            </w:r>
          </w:p>
        </w:tc>
        <w:tc>
          <w:tcPr>
            <w:tcW w:w="1134" w:type="dxa"/>
            <w:vAlign w:val="center"/>
          </w:tcPr>
          <w:p w:rsidR="00C95CCC" w:rsidRPr="00914AB5" w:rsidRDefault="00C95CCC" w:rsidP="00E90D09">
            <w:pPr>
              <w:jc w:val="center"/>
              <w:rPr>
                <w:color w:val="000000" w:themeColor="text1"/>
                <w:spacing w:val="-7"/>
                <w:sz w:val="20"/>
                <w:szCs w:val="20"/>
              </w:rPr>
            </w:pPr>
            <w:r w:rsidRPr="00914AB5">
              <w:rPr>
                <w:color w:val="000000" w:themeColor="text1"/>
                <w:spacing w:val="-7"/>
                <w:sz w:val="20"/>
                <w:szCs w:val="20"/>
              </w:rPr>
              <w:t>4 510</w:t>
            </w:r>
          </w:p>
        </w:tc>
        <w:tc>
          <w:tcPr>
            <w:tcW w:w="1183" w:type="dxa"/>
            <w:vAlign w:val="center"/>
          </w:tcPr>
          <w:p w:rsidR="00C95CCC" w:rsidRPr="00914AB5" w:rsidRDefault="00C95CCC" w:rsidP="00E90D09">
            <w:pPr>
              <w:jc w:val="center"/>
              <w:rPr>
                <w:color w:val="000000" w:themeColor="text1"/>
                <w:spacing w:val="-7"/>
                <w:sz w:val="20"/>
                <w:szCs w:val="20"/>
              </w:rPr>
            </w:pPr>
            <w:r w:rsidRPr="00914AB5">
              <w:rPr>
                <w:color w:val="000000" w:themeColor="text1"/>
                <w:spacing w:val="-7"/>
                <w:sz w:val="20"/>
                <w:szCs w:val="20"/>
              </w:rPr>
              <w:t>7 231</w:t>
            </w:r>
          </w:p>
        </w:tc>
      </w:tr>
    </w:tbl>
    <w:p w:rsidR="005A08CF" w:rsidRDefault="005A08CF">
      <w:pPr>
        <w:shd w:val="clear" w:color="auto" w:fill="FFFFFF"/>
        <w:rPr>
          <w:b/>
          <w:color w:val="000000" w:themeColor="text1"/>
          <w:spacing w:val="-7"/>
          <w:sz w:val="22"/>
        </w:rPr>
      </w:pPr>
      <w:r>
        <w:rPr>
          <w:b/>
          <w:color w:val="000000" w:themeColor="text1"/>
          <w:spacing w:val="-7"/>
          <w:sz w:val="22"/>
        </w:rPr>
        <w:t xml:space="preserve"> </w:t>
      </w:r>
    </w:p>
    <w:p w:rsidR="00EE00A6" w:rsidRPr="00733952" w:rsidRDefault="00EE00A6">
      <w:pPr>
        <w:shd w:val="clear" w:color="auto" w:fill="FFFFFF"/>
        <w:rPr>
          <w:color w:val="FF0000"/>
          <w:spacing w:val="-7"/>
          <w:sz w:val="22"/>
        </w:rPr>
      </w:pPr>
      <w:r>
        <w:rPr>
          <w:color w:val="000000" w:themeColor="text1"/>
          <w:spacing w:val="-7"/>
          <w:sz w:val="22"/>
        </w:rPr>
        <w:t>T</w:t>
      </w:r>
      <w:r w:rsidR="00684DB9">
        <w:rPr>
          <w:color w:val="000000" w:themeColor="text1"/>
          <w:spacing w:val="-7"/>
          <w:sz w:val="22"/>
        </w:rPr>
        <w:t>VA exigible – TVA déductible = 4 5</w:t>
      </w:r>
      <w:r>
        <w:rPr>
          <w:color w:val="000000" w:themeColor="text1"/>
          <w:spacing w:val="-7"/>
          <w:sz w:val="22"/>
        </w:rPr>
        <w:t>10 - 7 231 = -</w:t>
      </w:r>
      <w:r w:rsidR="00684DB9">
        <w:rPr>
          <w:color w:val="000000" w:themeColor="text1"/>
          <w:spacing w:val="-7"/>
          <w:sz w:val="22"/>
        </w:rPr>
        <w:t xml:space="preserve"> 27</w:t>
      </w:r>
      <w:r w:rsidR="00356C62">
        <w:rPr>
          <w:color w:val="000000" w:themeColor="text1"/>
          <w:spacing w:val="-7"/>
          <w:sz w:val="22"/>
        </w:rPr>
        <w:t>21 €</w:t>
      </w:r>
      <w:r w:rsidR="00733952">
        <w:rPr>
          <w:color w:val="000000" w:themeColor="text1"/>
          <w:spacing w:val="-7"/>
          <w:sz w:val="22"/>
        </w:rPr>
        <w:t xml:space="preserve"> </w:t>
      </w:r>
    </w:p>
    <w:p w:rsidR="00356C62" w:rsidRPr="0089641E" w:rsidRDefault="00356C62" w:rsidP="00356C62">
      <w:pPr>
        <w:shd w:val="clear" w:color="auto" w:fill="FFFFFF"/>
        <w:rPr>
          <w:color w:val="FF0000"/>
          <w:spacing w:val="-7"/>
          <w:sz w:val="22"/>
        </w:rPr>
      </w:pPr>
      <w:r>
        <w:rPr>
          <w:color w:val="000000" w:themeColor="text1"/>
          <w:spacing w:val="-7"/>
          <w:sz w:val="22"/>
        </w:rPr>
        <w:t>La déclaration de TVA au titre de septembre fait apparaitre un crédit de TVA</w:t>
      </w:r>
      <w:r w:rsidR="00733952">
        <w:rPr>
          <w:color w:val="000000" w:themeColor="text1"/>
          <w:spacing w:val="-7"/>
          <w:sz w:val="22"/>
        </w:rPr>
        <w:t xml:space="preserve"> </w:t>
      </w:r>
      <w:r>
        <w:rPr>
          <w:color w:val="000000" w:themeColor="text1"/>
          <w:spacing w:val="-7"/>
          <w:sz w:val="22"/>
        </w:rPr>
        <w:t xml:space="preserve">de </w:t>
      </w:r>
      <w:r w:rsidR="00684DB9">
        <w:rPr>
          <w:color w:val="000000" w:themeColor="text1"/>
          <w:spacing w:val="-7"/>
          <w:sz w:val="22"/>
        </w:rPr>
        <w:t>2 721</w:t>
      </w:r>
      <w:r>
        <w:rPr>
          <w:color w:val="000000" w:themeColor="text1"/>
          <w:spacing w:val="-7"/>
          <w:sz w:val="22"/>
        </w:rPr>
        <w:t xml:space="preserve"> €.</w:t>
      </w:r>
    </w:p>
    <w:p w:rsidR="00CA1E17" w:rsidRDefault="00CA1E17" w:rsidP="00356C62">
      <w:pPr>
        <w:shd w:val="clear" w:color="auto" w:fill="FFFFFF"/>
        <w:rPr>
          <w:color w:val="FF0000"/>
          <w:spacing w:val="-7"/>
          <w:sz w:val="22"/>
        </w:rPr>
      </w:pPr>
    </w:p>
    <w:p w:rsidR="00356C62" w:rsidRPr="00356C62" w:rsidRDefault="00356C62" w:rsidP="00356C62">
      <w:pPr>
        <w:shd w:val="clear" w:color="auto" w:fill="FFFFFF"/>
        <w:rPr>
          <w:b/>
          <w:color w:val="FF0000"/>
          <w:spacing w:val="-7"/>
          <w:sz w:val="22"/>
        </w:rPr>
      </w:pPr>
      <w:r>
        <w:rPr>
          <w:b/>
          <w:spacing w:val="-7"/>
          <w:sz w:val="22"/>
        </w:rPr>
        <w:t>4- Préciser la nature et le montant éventuel des régularisations à opérer sur les acquisitions d’immobilisations de septembre 2015 si le coefficient de taxation déf</w:t>
      </w:r>
      <w:r w:rsidR="00B36D73">
        <w:rPr>
          <w:b/>
          <w:spacing w:val="-7"/>
          <w:sz w:val="22"/>
        </w:rPr>
        <w:t>initif de l’année 2015 est de 0,</w:t>
      </w:r>
      <w:r>
        <w:rPr>
          <w:b/>
          <w:spacing w:val="-7"/>
          <w:sz w:val="22"/>
        </w:rPr>
        <w:t>56.</w:t>
      </w:r>
    </w:p>
    <w:p w:rsidR="00356C62" w:rsidRDefault="00356C62" w:rsidP="00AB7E32">
      <w:pPr>
        <w:tabs>
          <w:tab w:val="left" w:pos="851"/>
          <w:tab w:val="left" w:pos="1418"/>
        </w:tabs>
        <w:rPr>
          <w:b/>
          <w:bCs/>
          <w:color w:val="000000"/>
          <w:sz w:val="22"/>
        </w:rPr>
      </w:pPr>
    </w:p>
    <w:p w:rsidR="00356C62" w:rsidRDefault="00CA1E17" w:rsidP="00AB7E32">
      <w:pPr>
        <w:tabs>
          <w:tab w:val="left" w:pos="851"/>
          <w:tab w:val="left" w:pos="1418"/>
        </w:tabs>
        <w:rPr>
          <w:bCs/>
          <w:color w:val="FF0000"/>
          <w:sz w:val="22"/>
        </w:rPr>
      </w:pPr>
      <w:r>
        <w:rPr>
          <w:bCs/>
          <w:color w:val="000000"/>
          <w:sz w:val="22"/>
        </w:rPr>
        <w:t>La détermination du coefficient de taxation définitif impose la régularisation de la TVA initialement déduite, quel que soit l’écart entre le coefficient provisoire et le coefficient définitif.</w:t>
      </w:r>
    </w:p>
    <w:p w:rsidR="00CA1E17" w:rsidRDefault="00CA1E17" w:rsidP="00AB7E32">
      <w:pPr>
        <w:tabs>
          <w:tab w:val="left" w:pos="851"/>
          <w:tab w:val="left" w:pos="1418"/>
        </w:tabs>
        <w:rPr>
          <w:bCs/>
          <w:color w:val="FF0000"/>
          <w:sz w:val="22"/>
        </w:rPr>
      </w:pPr>
    </w:p>
    <w:p w:rsidR="00CA1E17" w:rsidRDefault="00CA1E17" w:rsidP="00AB7E32">
      <w:pPr>
        <w:tabs>
          <w:tab w:val="left" w:pos="851"/>
          <w:tab w:val="left" w:pos="1418"/>
        </w:tabs>
        <w:rPr>
          <w:bCs/>
          <w:sz w:val="22"/>
        </w:rPr>
      </w:pPr>
      <w:r>
        <w:rPr>
          <w:bCs/>
          <w:sz w:val="22"/>
        </w:rPr>
        <w:t>Seule la TVA sur le photocopieur</w:t>
      </w:r>
      <w:r w:rsidR="00BB0690">
        <w:rPr>
          <w:bCs/>
          <w:sz w:val="22"/>
        </w:rPr>
        <w:t xml:space="preserve"> acquis en septembre 2015 nécessite</w:t>
      </w:r>
      <w:r>
        <w:rPr>
          <w:bCs/>
          <w:sz w:val="22"/>
        </w:rPr>
        <w:t xml:space="preserve"> une régularisation (reversement).</w:t>
      </w:r>
    </w:p>
    <w:p w:rsidR="00CA1E17" w:rsidRDefault="00CA1E17" w:rsidP="00AB7E32">
      <w:pPr>
        <w:tabs>
          <w:tab w:val="left" w:pos="851"/>
          <w:tab w:val="left" w:pos="1418"/>
        </w:tabs>
        <w:rPr>
          <w:bCs/>
          <w:color w:val="FF0000"/>
          <w:sz w:val="22"/>
        </w:rPr>
      </w:pPr>
      <w:r>
        <w:rPr>
          <w:bCs/>
          <w:sz w:val="22"/>
        </w:rPr>
        <w:t>Reversement</w:t>
      </w:r>
      <w:r w:rsidR="00BB0690">
        <w:rPr>
          <w:bCs/>
          <w:sz w:val="22"/>
        </w:rPr>
        <w:t xml:space="preserve"> de T</w:t>
      </w:r>
      <w:r>
        <w:rPr>
          <w:bCs/>
          <w:sz w:val="22"/>
        </w:rPr>
        <w:t>VA = 2 400 x 20 % x (0.60 – 0,56) =  19,20 €.</w:t>
      </w:r>
    </w:p>
    <w:p w:rsidR="00733952" w:rsidRDefault="00733952" w:rsidP="00AB7E32">
      <w:pPr>
        <w:tabs>
          <w:tab w:val="left" w:pos="851"/>
          <w:tab w:val="left" w:pos="1418"/>
        </w:tabs>
        <w:rPr>
          <w:bCs/>
          <w:color w:val="FF0000"/>
          <w:sz w:val="22"/>
        </w:rPr>
      </w:pPr>
    </w:p>
    <w:p w:rsidR="00684DB9" w:rsidRPr="00CA1E17" w:rsidRDefault="00CA1E17" w:rsidP="00AB7E32">
      <w:pPr>
        <w:tabs>
          <w:tab w:val="left" w:pos="851"/>
          <w:tab w:val="left" w:pos="1418"/>
        </w:tabs>
        <w:rPr>
          <w:bCs/>
          <w:sz w:val="22"/>
        </w:rPr>
      </w:pPr>
      <w:r>
        <w:rPr>
          <w:bCs/>
          <w:sz w:val="22"/>
        </w:rPr>
        <w:t>A no</w:t>
      </w:r>
      <w:r w:rsidR="001E23AF">
        <w:rPr>
          <w:bCs/>
          <w:sz w:val="22"/>
        </w:rPr>
        <w:t>ter que la valeur d’origine du</w:t>
      </w:r>
      <w:r>
        <w:rPr>
          <w:bCs/>
          <w:sz w:val="22"/>
        </w:rPr>
        <w:t xml:space="preserve"> photocopieur n’a pas à être modifiée (écart </w:t>
      </w:r>
      <w:r w:rsidR="00A00354">
        <w:rPr>
          <w:bCs/>
          <w:sz w:val="22"/>
        </w:rPr>
        <w:t xml:space="preserve">entre les coefficients </w:t>
      </w:r>
      <w:r>
        <w:rPr>
          <w:bCs/>
          <w:sz w:val="22"/>
        </w:rPr>
        <w:t>inférieur à 5 points).</w:t>
      </w:r>
    </w:p>
    <w:p w:rsidR="00810ADD" w:rsidRDefault="00810ADD">
      <w:pPr>
        <w:jc w:val="left"/>
        <w:rPr>
          <w:b/>
          <w:bCs/>
          <w:color w:val="000000"/>
          <w:sz w:val="22"/>
        </w:rPr>
      </w:pPr>
      <w:r>
        <w:rPr>
          <w:b/>
          <w:bCs/>
          <w:color w:val="000000"/>
          <w:sz w:val="22"/>
        </w:rPr>
        <w:br w:type="page"/>
      </w:r>
    </w:p>
    <w:p w:rsidR="00810ADD" w:rsidRDefault="00810ADD" w:rsidP="0052093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p>
    <w:p w:rsidR="0052093D" w:rsidRDefault="003A0B52" w:rsidP="0052093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r>
        <w:rPr>
          <w:b/>
          <w:bCs/>
          <w:color w:val="000000"/>
          <w:sz w:val="22"/>
        </w:rPr>
        <w:t>DOSSIER 2</w:t>
      </w:r>
    </w:p>
    <w:p w:rsidR="00810ADD" w:rsidRPr="00955F2E" w:rsidRDefault="00810ADD" w:rsidP="0052093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p>
    <w:p w:rsidR="00D67FBF" w:rsidRDefault="00D67FBF" w:rsidP="0052093D">
      <w:pPr>
        <w:tabs>
          <w:tab w:val="left" w:pos="851"/>
          <w:tab w:val="left" w:pos="1418"/>
        </w:tabs>
        <w:rPr>
          <w:bCs/>
          <w:color w:val="000000"/>
          <w:sz w:val="22"/>
        </w:rPr>
      </w:pPr>
    </w:p>
    <w:p w:rsidR="00CA1E17" w:rsidRDefault="00CA1E17" w:rsidP="0052093D">
      <w:pPr>
        <w:tabs>
          <w:tab w:val="left" w:pos="851"/>
          <w:tab w:val="left" w:pos="1418"/>
        </w:tabs>
        <w:rPr>
          <w:bCs/>
          <w:color w:val="000000"/>
          <w:sz w:val="22"/>
        </w:rPr>
      </w:pPr>
    </w:p>
    <w:p w:rsidR="00C3048A" w:rsidRDefault="00C3048A" w:rsidP="009C4458">
      <w:pPr>
        <w:pStyle w:val="Paragraphedeliste"/>
        <w:numPr>
          <w:ilvl w:val="0"/>
          <w:numId w:val="3"/>
        </w:numPr>
        <w:tabs>
          <w:tab w:val="left" w:pos="851"/>
          <w:tab w:val="left" w:pos="1418"/>
        </w:tabs>
        <w:spacing w:before="0"/>
        <w:jc w:val="both"/>
        <w:rPr>
          <w:rFonts w:ascii="Times New Roman" w:hAnsi="Times New Roman"/>
          <w:b/>
          <w:bCs/>
          <w:color w:val="000000"/>
        </w:rPr>
      </w:pPr>
      <w:r w:rsidRPr="00DA0FC7">
        <w:rPr>
          <w:rFonts w:ascii="Times New Roman" w:hAnsi="Times New Roman"/>
          <w:b/>
          <w:bCs/>
          <w:color w:val="000000"/>
        </w:rPr>
        <w:t>Citer des raisons qui justifieraient que le déficit fiscal de 2014 n’a</w:t>
      </w:r>
      <w:r>
        <w:rPr>
          <w:rFonts w:ascii="Times New Roman" w:hAnsi="Times New Roman"/>
          <w:b/>
          <w:bCs/>
          <w:color w:val="000000"/>
        </w:rPr>
        <w:t xml:space="preserve"> pas été</w:t>
      </w:r>
      <w:r w:rsidRPr="00DA0FC7">
        <w:rPr>
          <w:rFonts w:ascii="Times New Roman" w:hAnsi="Times New Roman"/>
          <w:b/>
          <w:bCs/>
          <w:color w:val="000000"/>
        </w:rPr>
        <w:t xml:space="preserve"> imputé intégralement sur le bénéfice de 2013.</w:t>
      </w:r>
    </w:p>
    <w:p w:rsidR="00810ADD" w:rsidRPr="00DA0FC7" w:rsidRDefault="00810ADD" w:rsidP="00810ADD">
      <w:pPr>
        <w:pStyle w:val="Paragraphedeliste"/>
        <w:tabs>
          <w:tab w:val="left" w:pos="851"/>
          <w:tab w:val="left" w:pos="1418"/>
        </w:tabs>
        <w:spacing w:before="0"/>
        <w:jc w:val="both"/>
        <w:rPr>
          <w:rFonts w:ascii="Times New Roman" w:hAnsi="Times New Roman"/>
          <w:b/>
          <w:bCs/>
          <w:color w:val="000000"/>
        </w:rPr>
      </w:pPr>
    </w:p>
    <w:p w:rsidR="00AF2E95" w:rsidRPr="00E76E55" w:rsidRDefault="00C3048A" w:rsidP="009C4458">
      <w:pPr>
        <w:pStyle w:val="Paragraphedeliste"/>
        <w:numPr>
          <w:ilvl w:val="0"/>
          <w:numId w:val="4"/>
        </w:numPr>
        <w:tabs>
          <w:tab w:val="left" w:pos="851"/>
          <w:tab w:val="left" w:pos="1418"/>
        </w:tabs>
        <w:rPr>
          <w:rFonts w:ascii="Times New Roman" w:hAnsi="Times New Roman"/>
          <w:bCs/>
        </w:rPr>
      </w:pPr>
      <w:r w:rsidRPr="00E76E55">
        <w:rPr>
          <w:rFonts w:ascii="Times New Roman" w:hAnsi="Times New Roman"/>
          <w:bCs/>
        </w:rPr>
        <w:t>L’entreprise peut choisir de reporter en arrière tout ou partie de son déficit fiscal dans la limite de 1 000 000 € et de son bénéfice d’imputation.</w:t>
      </w:r>
    </w:p>
    <w:p w:rsidR="00C3048A" w:rsidRPr="00E76E55" w:rsidRDefault="00C3048A" w:rsidP="009C4458">
      <w:pPr>
        <w:pStyle w:val="Paragraphedeliste"/>
        <w:numPr>
          <w:ilvl w:val="0"/>
          <w:numId w:val="4"/>
        </w:numPr>
        <w:tabs>
          <w:tab w:val="left" w:pos="851"/>
          <w:tab w:val="left" w:pos="1418"/>
        </w:tabs>
        <w:rPr>
          <w:rFonts w:ascii="Times New Roman" w:hAnsi="Times New Roman"/>
          <w:bCs/>
        </w:rPr>
      </w:pPr>
      <w:r w:rsidRPr="00E76E55">
        <w:rPr>
          <w:rFonts w:ascii="Times New Roman" w:hAnsi="Times New Roman"/>
          <w:bCs/>
        </w:rPr>
        <w:t>Le bénéfice d’imputation de 2013 peut être inférieur au résultat fiscal pour deux raisons :</w:t>
      </w:r>
    </w:p>
    <w:p w:rsidR="00C3048A" w:rsidRPr="00E76E55" w:rsidRDefault="00C3048A" w:rsidP="009C4458">
      <w:pPr>
        <w:pStyle w:val="Paragraphedeliste"/>
        <w:numPr>
          <w:ilvl w:val="1"/>
          <w:numId w:val="4"/>
        </w:numPr>
        <w:tabs>
          <w:tab w:val="left" w:pos="851"/>
          <w:tab w:val="left" w:pos="1418"/>
        </w:tabs>
        <w:rPr>
          <w:rFonts w:ascii="Times New Roman" w:hAnsi="Times New Roman"/>
          <w:bCs/>
        </w:rPr>
      </w:pPr>
      <w:r w:rsidRPr="00E76E55">
        <w:rPr>
          <w:rFonts w:ascii="Times New Roman" w:hAnsi="Times New Roman"/>
          <w:bCs/>
        </w:rPr>
        <w:t>L’existence de dividendes versés</w:t>
      </w:r>
    </w:p>
    <w:p w:rsidR="00C3048A" w:rsidRPr="00E76E55" w:rsidRDefault="00C3048A" w:rsidP="009C4458">
      <w:pPr>
        <w:pStyle w:val="Paragraphedeliste"/>
        <w:numPr>
          <w:ilvl w:val="1"/>
          <w:numId w:val="4"/>
        </w:numPr>
        <w:tabs>
          <w:tab w:val="left" w:pos="851"/>
          <w:tab w:val="left" w:pos="1418"/>
        </w:tabs>
        <w:rPr>
          <w:rFonts w:ascii="Times New Roman" w:hAnsi="Times New Roman"/>
          <w:bCs/>
        </w:rPr>
      </w:pPr>
      <w:r w:rsidRPr="00E76E55">
        <w:rPr>
          <w:rFonts w:ascii="Times New Roman" w:hAnsi="Times New Roman"/>
          <w:bCs/>
        </w:rPr>
        <w:t>Une partie de l’impôt a été payé au moyen de crédits d’impôts</w:t>
      </w:r>
    </w:p>
    <w:p w:rsidR="008A22B6" w:rsidRDefault="008A22B6" w:rsidP="00AF2E95">
      <w:pPr>
        <w:tabs>
          <w:tab w:val="left" w:pos="851"/>
          <w:tab w:val="left" w:pos="1418"/>
        </w:tabs>
        <w:ind w:left="680"/>
        <w:rPr>
          <w:bCs/>
          <w:sz w:val="22"/>
        </w:rPr>
      </w:pPr>
    </w:p>
    <w:p w:rsidR="008A22B6" w:rsidRDefault="008A22B6" w:rsidP="008A22B6">
      <w:pPr>
        <w:tabs>
          <w:tab w:val="left" w:pos="851"/>
          <w:tab w:val="left" w:pos="1418"/>
        </w:tabs>
        <w:rPr>
          <w:bCs/>
          <w:sz w:val="22"/>
        </w:rPr>
      </w:pPr>
    </w:p>
    <w:p w:rsidR="00C3048A" w:rsidRPr="006E360F" w:rsidRDefault="00C3048A" w:rsidP="009C4458">
      <w:pPr>
        <w:pStyle w:val="Paragraphedeliste"/>
        <w:numPr>
          <w:ilvl w:val="0"/>
          <w:numId w:val="3"/>
        </w:numPr>
        <w:tabs>
          <w:tab w:val="left" w:pos="851"/>
          <w:tab w:val="left" w:pos="1418"/>
        </w:tabs>
        <w:spacing w:before="0"/>
        <w:jc w:val="both"/>
        <w:rPr>
          <w:rFonts w:ascii="Times New Roman" w:hAnsi="Times New Roman"/>
          <w:b/>
          <w:bCs/>
          <w:color w:val="000000"/>
        </w:rPr>
      </w:pPr>
      <w:r w:rsidRPr="006E360F">
        <w:rPr>
          <w:rFonts w:ascii="Times New Roman" w:hAnsi="Times New Roman"/>
          <w:b/>
          <w:bCs/>
          <w:color w:val="000000"/>
        </w:rPr>
        <w:t>Précisez les conditions d’application du régime des sociétés mères et fil</w:t>
      </w:r>
      <w:r w:rsidR="00810ADD">
        <w:rPr>
          <w:rFonts w:ascii="Times New Roman" w:hAnsi="Times New Roman"/>
          <w:b/>
          <w:bCs/>
          <w:color w:val="000000"/>
        </w:rPr>
        <w:t>iales concernant les dividendes.</w:t>
      </w:r>
    </w:p>
    <w:p w:rsidR="00EC2D16" w:rsidRDefault="00EC2D16" w:rsidP="008A22B6">
      <w:pPr>
        <w:tabs>
          <w:tab w:val="left" w:pos="851"/>
          <w:tab w:val="left" w:pos="1418"/>
        </w:tabs>
        <w:rPr>
          <w:b/>
          <w:bCs/>
          <w:sz w:val="22"/>
        </w:rPr>
      </w:pPr>
    </w:p>
    <w:p w:rsidR="008A22B6" w:rsidRPr="00E76E55" w:rsidRDefault="00C3048A" w:rsidP="008A22B6">
      <w:pPr>
        <w:tabs>
          <w:tab w:val="left" w:pos="851"/>
          <w:tab w:val="left" w:pos="1418"/>
        </w:tabs>
        <w:rPr>
          <w:b/>
          <w:bCs/>
          <w:sz w:val="22"/>
        </w:rPr>
      </w:pPr>
      <w:r w:rsidRPr="00E76E55">
        <w:rPr>
          <w:b/>
          <w:bCs/>
          <w:sz w:val="22"/>
        </w:rPr>
        <w:t>Le régime des sociét</w:t>
      </w:r>
      <w:r w:rsidR="00EC2D16" w:rsidRPr="00E76E55">
        <w:rPr>
          <w:b/>
          <w:bCs/>
          <w:sz w:val="22"/>
        </w:rPr>
        <w:t>és mères et filiales peut s’appliquer dans les conditions suivantes :</w:t>
      </w:r>
    </w:p>
    <w:p w:rsidR="00EC2D16" w:rsidRPr="00E76E55" w:rsidRDefault="00EC2D16" w:rsidP="00E76E55">
      <w:pPr>
        <w:pStyle w:val="Paragraphedeliste"/>
        <w:numPr>
          <w:ilvl w:val="0"/>
          <w:numId w:val="4"/>
        </w:numPr>
        <w:tabs>
          <w:tab w:val="left" w:pos="851"/>
          <w:tab w:val="left" w:pos="1418"/>
        </w:tabs>
        <w:spacing w:before="0"/>
        <w:ind w:left="714" w:hanging="357"/>
        <w:rPr>
          <w:rFonts w:ascii="Times New Roman" w:hAnsi="Times New Roman"/>
          <w:bCs/>
        </w:rPr>
      </w:pPr>
      <w:r w:rsidRPr="00E76E55">
        <w:rPr>
          <w:rFonts w:ascii="Times New Roman" w:hAnsi="Times New Roman"/>
          <w:bCs/>
        </w:rPr>
        <w:t>Les deux sociétés doivent être soumises à l’IS ou un impôt équivalent,</w:t>
      </w:r>
    </w:p>
    <w:p w:rsidR="00EC2D16" w:rsidRPr="00E76E55" w:rsidRDefault="00EC2D16" w:rsidP="00E76E55">
      <w:pPr>
        <w:pStyle w:val="Paragraphedeliste"/>
        <w:numPr>
          <w:ilvl w:val="0"/>
          <w:numId w:val="4"/>
        </w:numPr>
        <w:tabs>
          <w:tab w:val="left" w:pos="851"/>
          <w:tab w:val="left" w:pos="1418"/>
        </w:tabs>
        <w:spacing w:before="0"/>
        <w:ind w:left="714" w:hanging="357"/>
        <w:rPr>
          <w:rFonts w:ascii="Times New Roman" w:hAnsi="Times New Roman"/>
          <w:bCs/>
        </w:rPr>
      </w:pPr>
      <w:r w:rsidRPr="00E76E55">
        <w:rPr>
          <w:rFonts w:ascii="Times New Roman" w:hAnsi="Times New Roman"/>
          <w:bCs/>
        </w:rPr>
        <w:t>Détention d’au moins 5% du capital de la filiale</w:t>
      </w:r>
    </w:p>
    <w:p w:rsidR="00EC2D16" w:rsidRPr="00E76E55" w:rsidRDefault="00EC2D16" w:rsidP="00E76E55">
      <w:pPr>
        <w:pStyle w:val="Paragraphedeliste"/>
        <w:numPr>
          <w:ilvl w:val="0"/>
          <w:numId w:val="4"/>
        </w:numPr>
        <w:tabs>
          <w:tab w:val="left" w:pos="851"/>
          <w:tab w:val="left" w:pos="1418"/>
        </w:tabs>
        <w:spacing w:before="0"/>
        <w:ind w:left="714" w:hanging="357"/>
        <w:rPr>
          <w:rFonts w:ascii="Times New Roman" w:hAnsi="Times New Roman"/>
          <w:bCs/>
        </w:rPr>
      </w:pPr>
      <w:r w:rsidRPr="00E76E55">
        <w:rPr>
          <w:rFonts w:ascii="Times New Roman" w:hAnsi="Times New Roman"/>
          <w:bCs/>
        </w:rPr>
        <w:t>Conservation  des titres pendant 2 ans</w:t>
      </w:r>
    </w:p>
    <w:p w:rsidR="0067056E" w:rsidRDefault="0067056E" w:rsidP="009D3B0A">
      <w:pPr>
        <w:tabs>
          <w:tab w:val="left" w:pos="851"/>
          <w:tab w:val="left" w:pos="1418"/>
        </w:tabs>
        <w:rPr>
          <w:b/>
          <w:bCs/>
          <w:sz w:val="22"/>
        </w:rPr>
      </w:pPr>
    </w:p>
    <w:p w:rsidR="00CC1C07" w:rsidRPr="00DA0FC7" w:rsidRDefault="00CC1C07" w:rsidP="009C4458">
      <w:pPr>
        <w:pStyle w:val="Paragraphedeliste"/>
        <w:numPr>
          <w:ilvl w:val="0"/>
          <w:numId w:val="3"/>
        </w:numPr>
        <w:tabs>
          <w:tab w:val="left" w:pos="851"/>
          <w:tab w:val="left" w:pos="1418"/>
        </w:tabs>
        <w:spacing w:before="0"/>
        <w:jc w:val="both"/>
        <w:rPr>
          <w:rFonts w:ascii="Times New Roman" w:hAnsi="Times New Roman"/>
          <w:b/>
          <w:bCs/>
          <w:color w:val="000000"/>
        </w:rPr>
      </w:pPr>
      <w:r w:rsidRPr="00DA0FC7">
        <w:rPr>
          <w:rFonts w:ascii="Times New Roman" w:hAnsi="Times New Roman"/>
          <w:b/>
          <w:bCs/>
          <w:color w:val="000000"/>
        </w:rPr>
        <w:t>Calculer le résultat fiscal 2015 en utilisant le modèle de tableau ci-dessous :</w:t>
      </w:r>
      <w:r w:rsidR="00FB51DC">
        <w:rPr>
          <w:rFonts w:ascii="Times New Roman" w:hAnsi="Times New Roman"/>
          <w:b/>
          <w:bCs/>
          <w:color w:val="000000"/>
        </w:rPr>
        <w:t xml:space="preserve"> (15 points)</w:t>
      </w:r>
    </w:p>
    <w:p w:rsidR="00774C58" w:rsidRDefault="00774C58" w:rsidP="00774C58">
      <w:pPr>
        <w:tabs>
          <w:tab w:val="left" w:pos="851"/>
          <w:tab w:val="left" w:pos="1418"/>
        </w:tabs>
        <w:rPr>
          <w:b/>
          <w:bCs/>
          <w:color w:val="000000"/>
          <w:sz w:val="22"/>
        </w:rPr>
      </w:pPr>
    </w:p>
    <w:tbl>
      <w:tblPr>
        <w:tblStyle w:val="Grilledutableau"/>
        <w:tblW w:w="10173" w:type="dxa"/>
        <w:tblLayout w:type="fixed"/>
        <w:tblLook w:val="04A0"/>
      </w:tblPr>
      <w:tblGrid>
        <w:gridCol w:w="2518"/>
        <w:gridCol w:w="4678"/>
        <w:gridCol w:w="1276"/>
        <w:gridCol w:w="1701"/>
      </w:tblGrid>
      <w:tr w:rsidR="00774C58" w:rsidTr="00BC04C8">
        <w:trPr>
          <w:trHeight w:val="456"/>
        </w:trPr>
        <w:tc>
          <w:tcPr>
            <w:tcW w:w="2518" w:type="dxa"/>
            <w:vAlign w:val="center"/>
          </w:tcPr>
          <w:p w:rsidR="00774C58" w:rsidRDefault="00774C58" w:rsidP="00BC04C8">
            <w:pPr>
              <w:tabs>
                <w:tab w:val="left" w:pos="851"/>
                <w:tab w:val="left" w:pos="1418"/>
              </w:tabs>
              <w:jc w:val="center"/>
              <w:rPr>
                <w:b/>
                <w:bCs/>
                <w:color w:val="000000"/>
                <w:sz w:val="22"/>
              </w:rPr>
            </w:pPr>
            <w:r>
              <w:rPr>
                <w:b/>
                <w:bCs/>
                <w:color w:val="000000"/>
                <w:sz w:val="22"/>
              </w:rPr>
              <w:t>Opérations</w:t>
            </w:r>
          </w:p>
        </w:tc>
        <w:tc>
          <w:tcPr>
            <w:tcW w:w="4678" w:type="dxa"/>
            <w:vAlign w:val="center"/>
          </w:tcPr>
          <w:p w:rsidR="00774C58" w:rsidRDefault="00EC2D16" w:rsidP="00BC04C8">
            <w:pPr>
              <w:tabs>
                <w:tab w:val="left" w:pos="851"/>
                <w:tab w:val="left" w:pos="1418"/>
              </w:tabs>
              <w:jc w:val="center"/>
              <w:rPr>
                <w:b/>
                <w:bCs/>
                <w:color w:val="000000"/>
                <w:sz w:val="22"/>
              </w:rPr>
            </w:pPr>
            <w:r>
              <w:rPr>
                <w:b/>
                <w:bCs/>
                <w:color w:val="000000"/>
                <w:sz w:val="22"/>
              </w:rPr>
              <w:t>Analyse fiscale</w:t>
            </w:r>
          </w:p>
        </w:tc>
        <w:tc>
          <w:tcPr>
            <w:tcW w:w="1276" w:type="dxa"/>
            <w:vAlign w:val="center"/>
          </w:tcPr>
          <w:p w:rsidR="00774C58" w:rsidRDefault="00774C58" w:rsidP="00BC04C8">
            <w:pPr>
              <w:tabs>
                <w:tab w:val="left" w:pos="851"/>
                <w:tab w:val="left" w:pos="1418"/>
              </w:tabs>
              <w:jc w:val="center"/>
              <w:rPr>
                <w:b/>
                <w:bCs/>
                <w:color w:val="000000"/>
                <w:sz w:val="22"/>
              </w:rPr>
            </w:pPr>
            <w:r>
              <w:rPr>
                <w:b/>
                <w:bCs/>
                <w:color w:val="000000"/>
                <w:sz w:val="22"/>
              </w:rPr>
              <w:t>Déduction</w:t>
            </w:r>
            <w:r w:rsidR="00EC2D16">
              <w:rPr>
                <w:b/>
                <w:bCs/>
                <w:color w:val="000000"/>
                <w:sz w:val="22"/>
              </w:rPr>
              <w:t>s</w:t>
            </w:r>
          </w:p>
        </w:tc>
        <w:tc>
          <w:tcPr>
            <w:tcW w:w="1701" w:type="dxa"/>
            <w:vAlign w:val="center"/>
          </w:tcPr>
          <w:p w:rsidR="00774C58" w:rsidRDefault="00774C58" w:rsidP="00BC04C8">
            <w:pPr>
              <w:tabs>
                <w:tab w:val="left" w:pos="851"/>
                <w:tab w:val="left" w:pos="1418"/>
              </w:tabs>
              <w:jc w:val="center"/>
              <w:rPr>
                <w:b/>
                <w:bCs/>
                <w:color w:val="000000"/>
                <w:sz w:val="22"/>
              </w:rPr>
            </w:pPr>
            <w:r>
              <w:rPr>
                <w:b/>
                <w:bCs/>
                <w:color w:val="000000"/>
                <w:sz w:val="22"/>
              </w:rPr>
              <w:t>Réintégration</w:t>
            </w:r>
            <w:r w:rsidR="00EC2D16">
              <w:rPr>
                <w:b/>
                <w:bCs/>
                <w:color w:val="000000"/>
                <w:sz w:val="22"/>
              </w:rPr>
              <w:t>s</w:t>
            </w:r>
          </w:p>
        </w:tc>
      </w:tr>
      <w:tr w:rsidR="00774C58" w:rsidRPr="00774C58" w:rsidTr="00BC04C8">
        <w:trPr>
          <w:trHeight w:val="616"/>
        </w:trPr>
        <w:tc>
          <w:tcPr>
            <w:tcW w:w="2518" w:type="dxa"/>
            <w:vAlign w:val="center"/>
          </w:tcPr>
          <w:p w:rsidR="00774C58" w:rsidRPr="00774C58" w:rsidRDefault="00774C58" w:rsidP="00BC04C8">
            <w:pPr>
              <w:tabs>
                <w:tab w:val="left" w:pos="851"/>
                <w:tab w:val="left" w:pos="1418"/>
              </w:tabs>
              <w:jc w:val="left"/>
              <w:rPr>
                <w:bCs/>
                <w:color w:val="FF0000"/>
                <w:sz w:val="20"/>
                <w:szCs w:val="20"/>
              </w:rPr>
            </w:pPr>
            <w:r w:rsidRPr="00774C58">
              <w:rPr>
                <w:bCs/>
                <w:color w:val="000000"/>
                <w:sz w:val="20"/>
                <w:szCs w:val="20"/>
              </w:rPr>
              <w:t>Bénéfice fiscal provisoire</w:t>
            </w:r>
          </w:p>
        </w:tc>
        <w:tc>
          <w:tcPr>
            <w:tcW w:w="4678" w:type="dxa"/>
          </w:tcPr>
          <w:p w:rsidR="00774C58" w:rsidRPr="00774C58" w:rsidRDefault="00774C58" w:rsidP="00C86A70">
            <w:pPr>
              <w:tabs>
                <w:tab w:val="left" w:pos="851"/>
                <w:tab w:val="left" w:pos="1418"/>
              </w:tabs>
              <w:rPr>
                <w:bCs/>
                <w:color w:val="000000"/>
                <w:sz w:val="20"/>
                <w:szCs w:val="20"/>
              </w:rPr>
            </w:pPr>
          </w:p>
        </w:tc>
        <w:tc>
          <w:tcPr>
            <w:tcW w:w="1276" w:type="dxa"/>
          </w:tcPr>
          <w:p w:rsidR="00774C58" w:rsidRPr="00774C58" w:rsidRDefault="00774C58" w:rsidP="00774C58">
            <w:pPr>
              <w:tabs>
                <w:tab w:val="left" w:pos="851"/>
                <w:tab w:val="left" w:pos="1418"/>
              </w:tabs>
              <w:jc w:val="center"/>
              <w:rPr>
                <w:bCs/>
                <w:color w:val="000000"/>
                <w:sz w:val="20"/>
                <w:szCs w:val="20"/>
              </w:rPr>
            </w:pPr>
          </w:p>
        </w:tc>
        <w:tc>
          <w:tcPr>
            <w:tcW w:w="1701" w:type="dxa"/>
            <w:vAlign w:val="center"/>
          </w:tcPr>
          <w:p w:rsidR="00774C58" w:rsidRPr="00774C58" w:rsidRDefault="00774C58" w:rsidP="00BC04C8">
            <w:pPr>
              <w:tabs>
                <w:tab w:val="left" w:pos="851"/>
                <w:tab w:val="left" w:pos="1418"/>
              </w:tabs>
              <w:jc w:val="center"/>
              <w:rPr>
                <w:bCs/>
                <w:color w:val="000000"/>
                <w:sz w:val="20"/>
                <w:szCs w:val="20"/>
              </w:rPr>
            </w:pPr>
            <w:r w:rsidRPr="00774C58">
              <w:rPr>
                <w:bCs/>
                <w:color w:val="000000"/>
                <w:sz w:val="20"/>
                <w:szCs w:val="20"/>
              </w:rPr>
              <w:t>260 540</w:t>
            </w:r>
          </w:p>
        </w:tc>
      </w:tr>
      <w:tr w:rsidR="00774C58" w:rsidRPr="00774C58" w:rsidTr="00F63CC8">
        <w:trPr>
          <w:trHeight w:val="20"/>
        </w:trPr>
        <w:tc>
          <w:tcPr>
            <w:tcW w:w="2518" w:type="dxa"/>
            <w:vAlign w:val="center"/>
          </w:tcPr>
          <w:p w:rsidR="00774C58" w:rsidRPr="00774C58" w:rsidRDefault="005F161F" w:rsidP="00E76E55">
            <w:pPr>
              <w:tabs>
                <w:tab w:val="left" w:pos="851"/>
                <w:tab w:val="left" w:pos="1418"/>
              </w:tabs>
              <w:jc w:val="left"/>
              <w:rPr>
                <w:bCs/>
                <w:color w:val="000000"/>
                <w:sz w:val="20"/>
                <w:szCs w:val="20"/>
              </w:rPr>
            </w:pPr>
            <w:r>
              <w:rPr>
                <w:bCs/>
                <w:color w:val="000000"/>
                <w:sz w:val="20"/>
                <w:szCs w:val="20"/>
              </w:rPr>
              <w:t>TDP</w:t>
            </w:r>
          </w:p>
        </w:tc>
        <w:tc>
          <w:tcPr>
            <w:tcW w:w="4678" w:type="dxa"/>
          </w:tcPr>
          <w:p w:rsidR="005F161F" w:rsidRDefault="005F161F" w:rsidP="005F161F">
            <w:pPr>
              <w:tabs>
                <w:tab w:val="left" w:pos="851"/>
                <w:tab w:val="left" w:pos="1418"/>
              </w:tabs>
              <w:rPr>
                <w:bCs/>
                <w:sz w:val="22"/>
              </w:rPr>
            </w:pPr>
            <w:r>
              <w:rPr>
                <w:bCs/>
                <w:sz w:val="22"/>
              </w:rPr>
              <w:t>Titres de participation</w:t>
            </w:r>
          </w:p>
          <w:p w:rsidR="005F161F" w:rsidRDefault="005F161F" w:rsidP="005F161F">
            <w:pPr>
              <w:tabs>
                <w:tab w:val="left" w:pos="851"/>
                <w:tab w:val="left" w:pos="1418"/>
              </w:tabs>
              <w:rPr>
                <w:bCs/>
                <w:sz w:val="22"/>
              </w:rPr>
            </w:pPr>
            <w:r>
              <w:rPr>
                <w:bCs/>
                <w:sz w:val="22"/>
              </w:rPr>
              <w:t>Plus value = 310 000 – 280 000 = 30 000 €  PVLT 0 % (titres de participation détenus depuis plus de 2 ans).</w:t>
            </w:r>
          </w:p>
          <w:p w:rsidR="005F161F" w:rsidRDefault="005F161F" w:rsidP="005F161F">
            <w:pPr>
              <w:tabs>
                <w:tab w:val="left" w:pos="851"/>
                <w:tab w:val="left" w:pos="1418"/>
              </w:tabs>
              <w:rPr>
                <w:bCs/>
                <w:color w:val="FF0000"/>
                <w:sz w:val="22"/>
              </w:rPr>
            </w:pPr>
            <w:r>
              <w:rPr>
                <w:bCs/>
                <w:sz w:val="22"/>
              </w:rPr>
              <w:t>Reprise sur dépréciation des titres de participation = 20 000 €  PVLT 0 %</w:t>
            </w:r>
          </w:p>
          <w:p w:rsidR="005F161F" w:rsidRDefault="005F161F" w:rsidP="005F161F">
            <w:pPr>
              <w:tabs>
                <w:tab w:val="left" w:pos="851"/>
                <w:tab w:val="left" w:pos="1418"/>
              </w:tabs>
              <w:ind w:left="680"/>
              <w:rPr>
                <w:bCs/>
                <w:color w:val="FF0000"/>
                <w:sz w:val="22"/>
              </w:rPr>
            </w:pPr>
          </w:p>
          <w:p w:rsidR="005F161F" w:rsidRDefault="00CC1C07" w:rsidP="005F161F">
            <w:pPr>
              <w:tabs>
                <w:tab w:val="left" w:pos="851"/>
                <w:tab w:val="left" w:pos="1418"/>
              </w:tabs>
              <w:rPr>
                <w:b/>
                <w:bCs/>
                <w:sz w:val="22"/>
              </w:rPr>
            </w:pPr>
            <w:r>
              <w:rPr>
                <w:b/>
                <w:bCs/>
                <w:sz w:val="22"/>
              </w:rPr>
              <w:t>P</w:t>
            </w:r>
            <w:r w:rsidR="005F161F" w:rsidRPr="009D3B0A">
              <w:rPr>
                <w:b/>
                <w:bCs/>
                <w:sz w:val="22"/>
              </w:rPr>
              <w:t>VNLT 0 % = 30 000 + 20 000 = 50 000 €</w:t>
            </w:r>
          </w:p>
          <w:p w:rsidR="00774C58" w:rsidRPr="00C86A70" w:rsidRDefault="00774C58" w:rsidP="00C86A70">
            <w:pPr>
              <w:tabs>
                <w:tab w:val="left" w:pos="851"/>
                <w:tab w:val="left" w:pos="1418"/>
              </w:tabs>
              <w:rPr>
                <w:bCs/>
                <w:color w:val="FF0000"/>
                <w:sz w:val="20"/>
                <w:szCs w:val="20"/>
              </w:rPr>
            </w:pPr>
            <w:r>
              <w:rPr>
                <w:bCs/>
                <w:color w:val="000000"/>
                <w:sz w:val="20"/>
                <w:szCs w:val="20"/>
              </w:rPr>
              <w:t xml:space="preserve">A déduire du résultat imposable à 33,1/3 % </w:t>
            </w:r>
          </w:p>
          <w:p w:rsidR="009B724F" w:rsidRDefault="009B724F" w:rsidP="00C86A70">
            <w:pPr>
              <w:tabs>
                <w:tab w:val="left" w:pos="851"/>
                <w:tab w:val="left" w:pos="1418"/>
              </w:tabs>
              <w:rPr>
                <w:bCs/>
                <w:color w:val="000000"/>
                <w:sz w:val="20"/>
                <w:szCs w:val="20"/>
              </w:rPr>
            </w:pPr>
            <w:r>
              <w:rPr>
                <w:bCs/>
                <w:color w:val="000000"/>
                <w:sz w:val="20"/>
                <w:szCs w:val="20"/>
              </w:rPr>
              <w:t xml:space="preserve">Quote-part pour frais à réintégrer </w:t>
            </w:r>
          </w:p>
          <w:p w:rsidR="009B724F" w:rsidRDefault="009B724F" w:rsidP="00C86A70">
            <w:pPr>
              <w:tabs>
                <w:tab w:val="left" w:pos="851"/>
                <w:tab w:val="left" w:pos="1418"/>
              </w:tabs>
              <w:rPr>
                <w:bCs/>
                <w:color w:val="FF0000"/>
                <w:sz w:val="20"/>
                <w:szCs w:val="20"/>
              </w:rPr>
            </w:pPr>
            <w:r>
              <w:rPr>
                <w:bCs/>
                <w:color w:val="000000"/>
                <w:sz w:val="20"/>
                <w:szCs w:val="20"/>
              </w:rPr>
              <w:t>= 30 000 x 12 % = 3</w:t>
            </w:r>
            <w:r w:rsidR="009533F9">
              <w:rPr>
                <w:bCs/>
                <w:color w:val="000000"/>
                <w:sz w:val="20"/>
                <w:szCs w:val="20"/>
              </w:rPr>
              <w:t> </w:t>
            </w:r>
            <w:r>
              <w:rPr>
                <w:bCs/>
                <w:color w:val="000000"/>
                <w:sz w:val="20"/>
                <w:szCs w:val="20"/>
              </w:rPr>
              <w:t>600</w:t>
            </w:r>
            <w:r w:rsidR="009533F9">
              <w:rPr>
                <w:bCs/>
                <w:color w:val="000000"/>
                <w:sz w:val="20"/>
                <w:szCs w:val="20"/>
              </w:rPr>
              <w:t xml:space="preserve"> € </w:t>
            </w:r>
            <w:r>
              <w:rPr>
                <w:bCs/>
                <w:color w:val="000000"/>
                <w:sz w:val="20"/>
                <w:szCs w:val="20"/>
              </w:rPr>
              <w:t xml:space="preserve"> </w:t>
            </w:r>
          </w:p>
          <w:p w:rsidR="003F3A45" w:rsidRPr="00774C58" w:rsidRDefault="003F3A45" w:rsidP="00C86A70">
            <w:pPr>
              <w:tabs>
                <w:tab w:val="left" w:pos="851"/>
                <w:tab w:val="left" w:pos="1418"/>
              </w:tabs>
              <w:rPr>
                <w:bCs/>
                <w:color w:val="000000"/>
                <w:sz w:val="20"/>
                <w:szCs w:val="20"/>
              </w:rPr>
            </w:pPr>
          </w:p>
        </w:tc>
        <w:tc>
          <w:tcPr>
            <w:tcW w:w="1276" w:type="dxa"/>
          </w:tcPr>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774C58" w:rsidRPr="00774C58" w:rsidRDefault="009B724F" w:rsidP="00774C58">
            <w:pPr>
              <w:tabs>
                <w:tab w:val="left" w:pos="851"/>
                <w:tab w:val="left" w:pos="1418"/>
              </w:tabs>
              <w:jc w:val="center"/>
              <w:rPr>
                <w:bCs/>
                <w:color w:val="000000"/>
                <w:sz w:val="20"/>
                <w:szCs w:val="20"/>
              </w:rPr>
            </w:pPr>
            <w:r>
              <w:rPr>
                <w:bCs/>
                <w:color w:val="000000"/>
                <w:sz w:val="20"/>
                <w:szCs w:val="20"/>
              </w:rPr>
              <w:t>50</w:t>
            </w:r>
            <w:r w:rsidR="00BC04C8">
              <w:rPr>
                <w:bCs/>
                <w:color w:val="000000"/>
                <w:sz w:val="20"/>
                <w:szCs w:val="20"/>
              </w:rPr>
              <w:t> </w:t>
            </w:r>
            <w:r>
              <w:rPr>
                <w:bCs/>
                <w:color w:val="000000"/>
                <w:sz w:val="20"/>
                <w:szCs w:val="20"/>
              </w:rPr>
              <w:t>000</w:t>
            </w:r>
          </w:p>
        </w:tc>
        <w:tc>
          <w:tcPr>
            <w:tcW w:w="1701" w:type="dxa"/>
          </w:tcPr>
          <w:p w:rsidR="00774C58" w:rsidRDefault="00774C5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9B724F" w:rsidRDefault="009B724F" w:rsidP="00774C58">
            <w:pPr>
              <w:tabs>
                <w:tab w:val="left" w:pos="851"/>
                <w:tab w:val="left" w:pos="1418"/>
              </w:tabs>
              <w:jc w:val="center"/>
              <w:rPr>
                <w:bCs/>
                <w:color w:val="000000"/>
                <w:sz w:val="20"/>
                <w:szCs w:val="20"/>
              </w:rPr>
            </w:pPr>
          </w:p>
          <w:p w:rsidR="009B724F" w:rsidRPr="00774C58" w:rsidRDefault="009B724F" w:rsidP="00774C58">
            <w:pPr>
              <w:tabs>
                <w:tab w:val="left" w:pos="851"/>
                <w:tab w:val="left" w:pos="1418"/>
              </w:tabs>
              <w:jc w:val="center"/>
              <w:rPr>
                <w:bCs/>
                <w:color w:val="000000"/>
                <w:sz w:val="20"/>
                <w:szCs w:val="20"/>
              </w:rPr>
            </w:pPr>
            <w:r>
              <w:rPr>
                <w:bCs/>
                <w:color w:val="000000"/>
                <w:sz w:val="20"/>
                <w:szCs w:val="20"/>
              </w:rPr>
              <w:t>3 600</w:t>
            </w:r>
          </w:p>
        </w:tc>
      </w:tr>
      <w:tr w:rsidR="00774C58" w:rsidRPr="00774C58" w:rsidTr="00BC04C8">
        <w:trPr>
          <w:trHeight w:val="1135"/>
        </w:trPr>
        <w:tc>
          <w:tcPr>
            <w:tcW w:w="2518" w:type="dxa"/>
            <w:vAlign w:val="center"/>
          </w:tcPr>
          <w:p w:rsidR="00C86A70" w:rsidRDefault="00C86A70" w:rsidP="00E76E55">
            <w:pPr>
              <w:tabs>
                <w:tab w:val="left" w:pos="851"/>
                <w:tab w:val="left" w:pos="1418"/>
              </w:tabs>
              <w:jc w:val="left"/>
              <w:rPr>
                <w:bCs/>
                <w:color w:val="000000"/>
                <w:sz w:val="20"/>
                <w:szCs w:val="20"/>
              </w:rPr>
            </w:pPr>
            <w:r>
              <w:rPr>
                <w:bCs/>
                <w:color w:val="000000"/>
                <w:sz w:val="20"/>
                <w:szCs w:val="20"/>
              </w:rPr>
              <w:t>Dividendes</w:t>
            </w:r>
          </w:p>
          <w:p w:rsidR="00774C58" w:rsidRDefault="00C86A70" w:rsidP="00E76E55">
            <w:pPr>
              <w:tabs>
                <w:tab w:val="left" w:pos="851"/>
                <w:tab w:val="left" w:pos="1418"/>
              </w:tabs>
              <w:jc w:val="left"/>
              <w:rPr>
                <w:bCs/>
                <w:color w:val="000000"/>
                <w:sz w:val="20"/>
                <w:szCs w:val="20"/>
              </w:rPr>
            </w:pPr>
            <w:r>
              <w:rPr>
                <w:bCs/>
                <w:color w:val="000000"/>
                <w:sz w:val="20"/>
                <w:szCs w:val="20"/>
              </w:rPr>
              <w:t xml:space="preserve"> SA BATISUD</w:t>
            </w:r>
          </w:p>
          <w:p w:rsidR="00C86A70" w:rsidRPr="00C86A70" w:rsidRDefault="00C86A70" w:rsidP="00E76E55">
            <w:pPr>
              <w:tabs>
                <w:tab w:val="left" w:pos="851"/>
                <w:tab w:val="left" w:pos="1418"/>
              </w:tabs>
              <w:ind w:left="680"/>
              <w:jc w:val="left"/>
              <w:rPr>
                <w:bCs/>
                <w:color w:val="FF0000"/>
                <w:sz w:val="20"/>
                <w:szCs w:val="20"/>
              </w:rPr>
            </w:pPr>
          </w:p>
        </w:tc>
        <w:tc>
          <w:tcPr>
            <w:tcW w:w="4678" w:type="dxa"/>
            <w:vAlign w:val="center"/>
          </w:tcPr>
          <w:p w:rsidR="00774C58" w:rsidRPr="00C86A70" w:rsidRDefault="00C86A70" w:rsidP="00BC04C8">
            <w:pPr>
              <w:tabs>
                <w:tab w:val="left" w:pos="851"/>
                <w:tab w:val="left" w:pos="1418"/>
              </w:tabs>
              <w:jc w:val="left"/>
              <w:rPr>
                <w:bCs/>
                <w:sz w:val="20"/>
                <w:szCs w:val="20"/>
              </w:rPr>
            </w:pPr>
            <w:r>
              <w:rPr>
                <w:bCs/>
                <w:sz w:val="20"/>
                <w:szCs w:val="20"/>
              </w:rPr>
              <w:t>La société a opté pour le régime des sociétés-mères et filiales. Dividendes non imposables  et quote-part pour frais à réintégrer = 10 500 x 5 % = 525 €</w:t>
            </w:r>
            <w:r w:rsidR="008F195D">
              <w:rPr>
                <w:bCs/>
                <w:sz w:val="20"/>
                <w:szCs w:val="20"/>
              </w:rPr>
              <w:t xml:space="preserve"> </w:t>
            </w:r>
          </w:p>
        </w:tc>
        <w:tc>
          <w:tcPr>
            <w:tcW w:w="1276" w:type="dxa"/>
          </w:tcPr>
          <w:p w:rsidR="00774C58" w:rsidRDefault="00774C58" w:rsidP="00774C58">
            <w:pPr>
              <w:tabs>
                <w:tab w:val="left" w:pos="851"/>
                <w:tab w:val="left" w:pos="1418"/>
              </w:tabs>
              <w:jc w:val="center"/>
              <w:rPr>
                <w:bCs/>
                <w:color w:val="000000"/>
                <w:sz w:val="20"/>
                <w:szCs w:val="20"/>
              </w:rPr>
            </w:pPr>
          </w:p>
          <w:p w:rsidR="00C86A70" w:rsidRPr="00774C58" w:rsidRDefault="00C86A70" w:rsidP="00774C58">
            <w:pPr>
              <w:tabs>
                <w:tab w:val="left" w:pos="851"/>
                <w:tab w:val="left" w:pos="1418"/>
              </w:tabs>
              <w:jc w:val="center"/>
              <w:rPr>
                <w:bCs/>
                <w:color w:val="000000"/>
                <w:sz w:val="20"/>
                <w:szCs w:val="20"/>
              </w:rPr>
            </w:pPr>
            <w:r>
              <w:rPr>
                <w:bCs/>
                <w:color w:val="000000"/>
                <w:sz w:val="20"/>
                <w:szCs w:val="20"/>
              </w:rPr>
              <w:t>10 500</w:t>
            </w:r>
          </w:p>
        </w:tc>
        <w:tc>
          <w:tcPr>
            <w:tcW w:w="1701" w:type="dxa"/>
          </w:tcPr>
          <w:p w:rsidR="00774C58" w:rsidRDefault="00774C58" w:rsidP="00774C58">
            <w:pPr>
              <w:tabs>
                <w:tab w:val="left" w:pos="851"/>
                <w:tab w:val="left" w:pos="1418"/>
              </w:tabs>
              <w:jc w:val="center"/>
              <w:rPr>
                <w:bCs/>
                <w:color w:val="000000"/>
                <w:sz w:val="20"/>
                <w:szCs w:val="20"/>
              </w:rPr>
            </w:pPr>
          </w:p>
          <w:p w:rsidR="00C86A70" w:rsidRDefault="00C86A70" w:rsidP="00774C58">
            <w:pPr>
              <w:tabs>
                <w:tab w:val="left" w:pos="851"/>
                <w:tab w:val="left" w:pos="1418"/>
              </w:tabs>
              <w:jc w:val="center"/>
              <w:rPr>
                <w:bCs/>
                <w:color w:val="000000"/>
                <w:sz w:val="20"/>
                <w:szCs w:val="20"/>
              </w:rPr>
            </w:pPr>
          </w:p>
          <w:p w:rsidR="00C86A70" w:rsidRPr="00774C58" w:rsidRDefault="00C86A70" w:rsidP="00774C58">
            <w:pPr>
              <w:tabs>
                <w:tab w:val="left" w:pos="851"/>
                <w:tab w:val="left" w:pos="1418"/>
              </w:tabs>
              <w:jc w:val="center"/>
              <w:rPr>
                <w:bCs/>
                <w:color w:val="000000"/>
                <w:sz w:val="20"/>
                <w:szCs w:val="20"/>
              </w:rPr>
            </w:pPr>
            <w:r>
              <w:rPr>
                <w:bCs/>
                <w:color w:val="000000"/>
                <w:sz w:val="20"/>
                <w:szCs w:val="20"/>
              </w:rPr>
              <w:t>525</w:t>
            </w:r>
          </w:p>
        </w:tc>
      </w:tr>
      <w:tr w:rsidR="00774C58" w:rsidRPr="00774C58" w:rsidTr="00BC04C8">
        <w:trPr>
          <w:trHeight w:val="1832"/>
        </w:trPr>
        <w:tc>
          <w:tcPr>
            <w:tcW w:w="2518" w:type="dxa"/>
            <w:vAlign w:val="center"/>
          </w:tcPr>
          <w:p w:rsidR="00774C58" w:rsidRDefault="00C86A70" w:rsidP="00E76E55">
            <w:pPr>
              <w:tabs>
                <w:tab w:val="left" w:pos="851"/>
                <w:tab w:val="left" w:pos="1418"/>
              </w:tabs>
              <w:jc w:val="left"/>
              <w:rPr>
                <w:bCs/>
                <w:color w:val="000000"/>
                <w:sz w:val="20"/>
                <w:szCs w:val="20"/>
              </w:rPr>
            </w:pPr>
            <w:r>
              <w:rPr>
                <w:bCs/>
                <w:color w:val="000000"/>
                <w:sz w:val="20"/>
                <w:szCs w:val="20"/>
              </w:rPr>
              <w:t>Amortissements</w:t>
            </w:r>
          </w:p>
          <w:p w:rsidR="003F7A2C" w:rsidRPr="003F7A2C" w:rsidRDefault="003F7A2C" w:rsidP="00E76E55">
            <w:pPr>
              <w:tabs>
                <w:tab w:val="left" w:pos="851"/>
                <w:tab w:val="left" w:pos="1418"/>
              </w:tabs>
              <w:ind w:left="680"/>
              <w:jc w:val="left"/>
              <w:rPr>
                <w:bCs/>
                <w:color w:val="FF0000"/>
                <w:sz w:val="20"/>
                <w:szCs w:val="20"/>
              </w:rPr>
            </w:pPr>
          </w:p>
        </w:tc>
        <w:tc>
          <w:tcPr>
            <w:tcW w:w="4678" w:type="dxa"/>
            <w:vAlign w:val="center"/>
          </w:tcPr>
          <w:p w:rsidR="008F195D" w:rsidRDefault="00C86A70" w:rsidP="00BC04C8">
            <w:pPr>
              <w:tabs>
                <w:tab w:val="left" w:pos="851"/>
                <w:tab w:val="left" w:pos="1418"/>
              </w:tabs>
              <w:jc w:val="left"/>
              <w:rPr>
                <w:bCs/>
                <w:color w:val="000000"/>
                <w:sz w:val="20"/>
                <w:szCs w:val="20"/>
              </w:rPr>
            </w:pPr>
            <w:r>
              <w:rPr>
                <w:bCs/>
                <w:color w:val="000000"/>
                <w:sz w:val="20"/>
                <w:szCs w:val="20"/>
              </w:rPr>
              <w:t xml:space="preserve">Dotation fiscalement déductible = </w:t>
            </w:r>
          </w:p>
          <w:p w:rsidR="00774C58" w:rsidRPr="00C86A70" w:rsidRDefault="00C86A70" w:rsidP="00BC04C8">
            <w:pPr>
              <w:tabs>
                <w:tab w:val="left" w:pos="851"/>
                <w:tab w:val="left" w:pos="1418"/>
              </w:tabs>
              <w:jc w:val="left"/>
              <w:rPr>
                <w:bCs/>
                <w:color w:val="FF0000"/>
                <w:sz w:val="20"/>
                <w:szCs w:val="20"/>
              </w:rPr>
            </w:pPr>
            <w:r>
              <w:rPr>
                <w:bCs/>
                <w:color w:val="000000"/>
                <w:sz w:val="20"/>
                <w:szCs w:val="20"/>
              </w:rPr>
              <w:t xml:space="preserve">42 000 x 20 % x 10/12 = 7 000 € </w:t>
            </w:r>
            <w:r w:rsidR="008F195D">
              <w:rPr>
                <w:bCs/>
                <w:color w:val="000000"/>
                <w:sz w:val="20"/>
                <w:szCs w:val="20"/>
              </w:rPr>
              <w:t xml:space="preserve"> </w:t>
            </w:r>
          </w:p>
          <w:p w:rsidR="008F195D" w:rsidRDefault="00C86A70" w:rsidP="00BC04C8">
            <w:pPr>
              <w:tabs>
                <w:tab w:val="left" w:pos="851"/>
                <w:tab w:val="left" w:pos="1418"/>
              </w:tabs>
              <w:jc w:val="left"/>
              <w:rPr>
                <w:bCs/>
                <w:color w:val="000000"/>
                <w:sz w:val="20"/>
                <w:szCs w:val="20"/>
              </w:rPr>
            </w:pPr>
            <w:r>
              <w:rPr>
                <w:bCs/>
                <w:color w:val="000000"/>
                <w:sz w:val="20"/>
                <w:szCs w:val="20"/>
              </w:rPr>
              <w:t xml:space="preserve">Dotation comptabilisée = </w:t>
            </w:r>
          </w:p>
          <w:p w:rsidR="00C86A70" w:rsidRPr="00C86A70" w:rsidRDefault="00C86A70" w:rsidP="00BC04C8">
            <w:pPr>
              <w:tabs>
                <w:tab w:val="left" w:pos="851"/>
                <w:tab w:val="left" w:pos="1418"/>
              </w:tabs>
              <w:jc w:val="left"/>
              <w:rPr>
                <w:bCs/>
                <w:color w:val="FF0000"/>
                <w:sz w:val="20"/>
                <w:szCs w:val="20"/>
              </w:rPr>
            </w:pPr>
            <w:r>
              <w:rPr>
                <w:bCs/>
                <w:color w:val="000000"/>
                <w:sz w:val="20"/>
                <w:szCs w:val="20"/>
              </w:rPr>
              <w:t xml:space="preserve">(42 000 – 15 000) x 1/3 x 10/12 = 7 500 € </w:t>
            </w:r>
            <w:r w:rsidR="008F195D">
              <w:rPr>
                <w:bCs/>
                <w:color w:val="000000"/>
                <w:sz w:val="20"/>
                <w:szCs w:val="20"/>
              </w:rPr>
              <w:t xml:space="preserve">  </w:t>
            </w:r>
          </w:p>
          <w:p w:rsidR="00C86A70" w:rsidRDefault="00C86A70" w:rsidP="00BC04C8">
            <w:pPr>
              <w:tabs>
                <w:tab w:val="left" w:pos="851"/>
                <w:tab w:val="left" w:pos="1418"/>
              </w:tabs>
              <w:jc w:val="left"/>
              <w:rPr>
                <w:bCs/>
                <w:color w:val="FF0000"/>
                <w:sz w:val="20"/>
                <w:szCs w:val="20"/>
              </w:rPr>
            </w:pPr>
            <w:r>
              <w:rPr>
                <w:bCs/>
                <w:color w:val="000000"/>
                <w:sz w:val="20"/>
                <w:szCs w:val="20"/>
              </w:rPr>
              <w:t xml:space="preserve">Réintégration = 7 500 – 7 000 = 500 € </w:t>
            </w:r>
            <w:r w:rsidR="008F195D">
              <w:rPr>
                <w:bCs/>
                <w:color w:val="000000"/>
                <w:sz w:val="20"/>
                <w:szCs w:val="20"/>
              </w:rPr>
              <w:t xml:space="preserve"> </w:t>
            </w:r>
          </w:p>
          <w:p w:rsidR="003F3A45" w:rsidRPr="00774C58" w:rsidRDefault="003F3A45" w:rsidP="00BC04C8">
            <w:pPr>
              <w:tabs>
                <w:tab w:val="left" w:pos="851"/>
                <w:tab w:val="left" w:pos="1418"/>
              </w:tabs>
              <w:jc w:val="left"/>
              <w:rPr>
                <w:bCs/>
                <w:color w:val="000000"/>
                <w:sz w:val="20"/>
                <w:szCs w:val="20"/>
              </w:rPr>
            </w:pPr>
          </w:p>
        </w:tc>
        <w:tc>
          <w:tcPr>
            <w:tcW w:w="1276" w:type="dxa"/>
          </w:tcPr>
          <w:p w:rsidR="00774C58" w:rsidRPr="00774C58" w:rsidRDefault="00774C58" w:rsidP="00774C58">
            <w:pPr>
              <w:tabs>
                <w:tab w:val="left" w:pos="851"/>
                <w:tab w:val="left" w:pos="1418"/>
              </w:tabs>
              <w:jc w:val="center"/>
              <w:rPr>
                <w:bCs/>
                <w:color w:val="000000"/>
                <w:sz w:val="20"/>
                <w:szCs w:val="20"/>
              </w:rPr>
            </w:pPr>
          </w:p>
        </w:tc>
        <w:tc>
          <w:tcPr>
            <w:tcW w:w="1701" w:type="dxa"/>
          </w:tcPr>
          <w:p w:rsidR="00774C58" w:rsidRDefault="00774C58" w:rsidP="00774C58">
            <w:pPr>
              <w:tabs>
                <w:tab w:val="left" w:pos="851"/>
                <w:tab w:val="left" w:pos="1418"/>
              </w:tabs>
              <w:jc w:val="center"/>
              <w:rPr>
                <w:bCs/>
                <w:color w:val="000000"/>
                <w:sz w:val="20"/>
                <w:szCs w:val="20"/>
              </w:rPr>
            </w:pPr>
          </w:p>
          <w:p w:rsidR="00C86A70" w:rsidRDefault="00C86A70" w:rsidP="00774C58">
            <w:pPr>
              <w:tabs>
                <w:tab w:val="left" w:pos="851"/>
                <w:tab w:val="left" w:pos="1418"/>
              </w:tabs>
              <w:jc w:val="center"/>
              <w:rPr>
                <w:bCs/>
                <w:color w:val="000000"/>
                <w:sz w:val="20"/>
                <w:szCs w:val="20"/>
              </w:rPr>
            </w:pPr>
          </w:p>
          <w:p w:rsidR="00C86A70" w:rsidRDefault="00C86A70" w:rsidP="00774C58">
            <w:pPr>
              <w:tabs>
                <w:tab w:val="left" w:pos="851"/>
                <w:tab w:val="left" w:pos="1418"/>
              </w:tabs>
              <w:jc w:val="center"/>
              <w:rPr>
                <w:bCs/>
                <w:color w:val="000000"/>
                <w:sz w:val="20"/>
                <w:szCs w:val="20"/>
              </w:rPr>
            </w:pPr>
          </w:p>
          <w:p w:rsidR="00C86A70" w:rsidRDefault="00C86A70" w:rsidP="00774C58">
            <w:pPr>
              <w:tabs>
                <w:tab w:val="left" w:pos="851"/>
                <w:tab w:val="left" w:pos="1418"/>
              </w:tabs>
              <w:jc w:val="center"/>
              <w:rPr>
                <w:bCs/>
                <w:color w:val="000000"/>
                <w:sz w:val="20"/>
                <w:szCs w:val="20"/>
              </w:rPr>
            </w:pPr>
          </w:p>
          <w:p w:rsidR="00C86A70" w:rsidRPr="00774C58" w:rsidRDefault="00C86A70" w:rsidP="00774C58">
            <w:pPr>
              <w:tabs>
                <w:tab w:val="left" w:pos="851"/>
                <w:tab w:val="left" w:pos="1418"/>
              </w:tabs>
              <w:jc w:val="center"/>
              <w:rPr>
                <w:bCs/>
                <w:color w:val="000000"/>
                <w:sz w:val="20"/>
                <w:szCs w:val="20"/>
              </w:rPr>
            </w:pPr>
            <w:r>
              <w:rPr>
                <w:bCs/>
                <w:color w:val="000000"/>
                <w:sz w:val="20"/>
                <w:szCs w:val="20"/>
              </w:rPr>
              <w:t>500</w:t>
            </w:r>
          </w:p>
        </w:tc>
      </w:tr>
    </w:tbl>
    <w:p w:rsidR="00BC04C8" w:rsidRDefault="00BC04C8">
      <w:r>
        <w:br w:type="page"/>
      </w:r>
    </w:p>
    <w:tbl>
      <w:tblPr>
        <w:tblStyle w:val="Grilledutableau"/>
        <w:tblW w:w="10173" w:type="dxa"/>
        <w:tblLayout w:type="fixed"/>
        <w:tblLook w:val="04A0"/>
      </w:tblPr>
      <w:tblGrid>
        <w:gridCol w:w="2518"/>
        <w:gridCol w:w="4678"/>
        <w:gridCol w:w="1276"/>
        <w:gridCol w:w="1701"/>
      </w:tblGrid>
      <w:tr w:rsidR="00BC04C8" w:rsidRPr="00774C58" w:rsidTr="00970705">
        <w:trPr>
          <w:trHeight w:val="685"/>
        </w:trPr>
        <w:tc>
          <w:tcPr>
            <w:tcW w:w="2518" w:type="dxa"/>
            <w:vAlign w:val="center"/>
          </w:tcPr>
          <w:p w:rsidR="00BC04C8" w:rsidRDefault="00BC04C8" w:rsidP="0080231D">
            <w:pPr>
              <w:tabs>
                <w:tab w:val="left" w:pos="851"/>
                <w:tab w:val="left" w:pos="1418"/>
              </w:tabs>
              <w:jc w:val="center"/>
              <w:rPr>
                <w:b/>
                <w:bCs/>
                <w:color w:val="000000"/>
                <w:sz w:val="22"/>
              </w:rPr>
            </w:pPr>
            <w:r>
              <w:rPr>
                <w:b/>
                <w:bCs/>
                <w:color w:val="000000"/>
                <w:sz w:val="22"/>
              </w:rPr>
              <w:lastRenderedPageBreak/>
              <w:t>Opérations</w:t>
            </w:r>
          </w:p>
        </w:tc>
        <w:tc>
          <w:tcPr>
            <w:tcW w:w="4678" w:type="dxa"/>
            <w:vAlign w:val="center"/>
          </w:tcPr>
          <w:p w:rsidR="00BC04C8" w:rsidRDefault="00BC04C8" w:rsidP="0080231D">
            <w:pPr>
              <w:tabs>
                <w:tab w:val="left" w:pos="851"/>
                <w:tab w:val="left" w:pos="1418"/>
              </w:tabs>
              <w:jc w:val="center"/>
              <w:rPr>
                <w:b/>
                <w:bCs/>
                <w:color w:val="000000"/>
                <w:sz w:val="22"/>
              </w:rPr>
            </w:pPr>
            <w:r>
              <w:rPr>
                <w:b/>
                <w:bCs/>
                <w:color w:val="000000"/>
                <w:sz w:val="22"/>
              </w:rPr>
              <w:t>Analyse fiscale</w:t>
            </w:r>
          </w:p>
        </w:tc>
        <w:tc>
          <w:tcPr>
            <w:tcW w:w="1276" w:type="dxa"/>
            <w:vAlign w:val="center"/>
          </w:tcPr>
          <w:p w:rsidR="00BC04C8" w:rsidRDefault="00BC04C8" w:rsidP="0080231D">
            <w:pPr>
              <w:tabs>
                <w:tab w:val="left" w:pos="851"/>
                <w:tab w:val="left" w:pos="1418"/>
              </w:tabs>
              <w:jc w:val="center"/>
              <w:rPr>
                <w:b/>
                <w:bCs/>
                <w:color w:val="000000"/>
                <w:sz w:val="22"/>
              </w:rPr>
            </w:pPr>
            <w:r>
              <w:rPr>
                <w:b/>
                <w:bCs/>
                <w:color w:val="000000"/>
                <w:sz w:val="22"/>
              </w:rPr>
              <w:t>Déductions</w:t>
            </w:r>
          </w:p>
        </w:tc>
        <w:tc>
          <w:tcPr>
            <w:tcW w:w="1701" w:type="dxa"/>
            <w:vAlign w:val="center"/>
          </w:tcPr>
          <w:p w:rsidR="00BC04C8" w:rsidRDefault="00BC04C8" w:rsidP="0080231D">
            <w:pPr>
              <w:tabs>
                <w:tab w:val="left" w:pos="851"/>
                <w:tab w:val="left" w:pos="1418"/>
              </w:tabs>
              <w:jc w:val="center"/>
              <w:rPr>
                <w:b/>
                <w:bCs/>
                <w:color w:val="000000"/>
                <w:sz w:val="22"/>
              </w:rPr>
            </w:pPr>
            <w:r>
              <w:rPr>
                <w:b/>
                <w:bCs/>
                <w:color w:val="000000"/>
                <w:sz w:val="22"/>
              </w:rPr>
              <w:t>Réintégrations</w:t>
            </w:r>
          </w:p>
        </w:tc>
      </w:tr>
      <w:tr w:rsidR="00BC04C8" w:rsidRPr="00774C58" w:rsidTr="00BC04C8">
        <w:trPr>
          <w:trHeight w:val="685"/>
        </w:trPr>
        <w:tc>
          <w:tcPr>
            <w:tcW w:w="2518" w:type="dxa"/>
            <w:vAlign w:val="center"/>
          </w:tcPr>
          <w:p w:rsidR="00BC04C8" w:rsidRDefault="00BC04C8" w:rsidP="00E76E55">
            <w:pPr>
              <w:tabs>
                <w:tab w:val="left" w:pos="851"/>
                <w:tab w:val="left" w:pos="1418"/>
              </w:tabs>
              <w:jc w:val="left"/>
              <w:rPr>
                <w:bCs/>
                <w:sz w:val="20"/>
                <w:szCs w:val="20"/>
              </w:rPr>
            </w:pPr>
            <w:r>
              <w:rPr>
                <w:bCs/>
                <w:sz w:val="20"/>
                <w:szCs w:val="20"/>
              </w:rPr>
              <w:t>Titres d’OPCVM</w:t>
            </w:r>
          </w:p>
          <w:p w:rsidR="00BC04C8" w:rsidRPr="003F7A2C" w:rsidRDefault="00BC04C8" w:rsidP="00E76E55">
            <w:pPr>
              <w:tabs>
                <w:tab w:val="left" w:pos="851"/>
                <w:tab w:val="left" w:pos="1418"/>
              </w:tabs>
              <w:jc w:val="left"/>
              <w:rPr>
                <w:bCs/>
                <w:color w:val="FF0000"/>
                <w:sz w:val="20"/>
                <w:szCs w:val="20"/>
              </w:rPr>
            </w:pPr>
          </w:p>
        </w:tc>
        <w:tc>
          <w:tcPr>
            <w:tcW w:w="4678" w:type="dxa"/>
            <w:vAlign w:val="center"/>
          </w:tcPr>
          <w:p w:rsidR="00BC04C8" w:rsidRDefault="00BC04C8" w:rsidP="00BC04C8">
            <w:pPr>
              <w:tabs>
                <w:tab w:val="left" w:pos="851"/>
                <w:tab w:val="left" w:pos="1418"/>
              </w:tabs>
              <w:jc w:val="left"/>
              <w:rPr>
                <w:bCs/>
                <w:color w:val="000000"/>
                <w:sz w:val="20"/>
                <w:szCs w:val="20"/>
              </w:rPr>
            </w:pPr>
            <w:r>
              <w:rPr>
                <w:bCs/>
                <w:color w:val="000000"/>
                <w:sz w:val="20"/>
                <w:szCs w:val="20"/>
              </w:rPr>
              <w:t xml:space="preserve">Ecart sur valeur liquidative = 150 x (142-120) </w:t>
            </w:r>
          </w:p>
          <w:p w:rsidR="00BC04C8" w:rsidRDefault="00BC04C8" w:rsidP="00BC04C8">
            <w:pPr>
              <w:tabs>
                <w:tab w:val="left" w:pos="851"/>
                <w:tab w:val="left" w:pos="1418"/>
              </w:tabs>
              <w:jc w:val="left"/>
              <w:rPr>
                <w:bCs/>
                <w:color w:val="FF0000"/>
                <w:sz w:val="20"/>
                <w:szCs w:val="20"/>
              </w:rPr>
            </w:pPr>
            <w:r>
              <w:rPr>
                <w:bCs/>
                <w:color w:val="000000"/>
                <w:sz w:val="20"/>
                <w:szCs w:val="20"/>
              </w:rPr>
              <w:t xml:space="preserve">= 3 300 € à déduire fiscalement </w:t>
            </w:r>
          </w:p>
          <w:p w:rsidR="00BC04C8" w:rsidRPr="003F7A2C" w:rsidRDefault="00BC04C8" w:rsidP="00BC04C8">
            <w:pPr>
              <w:tabs>
                <w:tab w:val="left" w:pos="851"/>
                <w:tab w:val="left" w:pos="1418"/>
              </w:tabs>
              <w:jc w:val="left"/>
              <w:rPr>
                <w:bCs/>
                <w:sz w:val="20"/>
                <w:szCs w:val="20"/>
              </w:rPr>
            </w:pPr>
            <w:r w:rsidRPr="003F7A2C">
              <w:rPr>
                <w:bCs/>
                <w:sz w:val="20"/>
                <w:szCs w:val="20"/>
              </w:rPr>
              <w:t>Dotation aux dépréciations 2015 = 150 x (130</w:t>
            </w:r>
            <w:r>
              <w:rPr>
                <w:bCs/>
                <w:sz w:val="20"/>
                <w:szCs w:val="20"/>
              </w:rPr>
              <w:t xml:space="preserve"> </w:t>
            </w:r>
            <w:r w:rsidRPr="003F7A2C">
              <w:rPr>
                <w:bCs/>
                <w:sz w:val="20"/>
                <w:szCs w:val="20"/>
              </w:rPr>
              <w:t>-</w:t>
            </w:r>
            <w:r>
              <w:rPr>
                <w:bCs/>
                <w:sz w:val="20"/>
                <w:szCs w:val="20"/>
              </w:rPr>
              <w:t xml:space="preserve"> </w:t>
            </w:r>
            <w:r w:rsidRPr="003F7A2C">
              <w:rPr>
                <w:bCs/>
                <w:sz w:val="20"/>
                <w:szCs w:val="20"/>
              </w:rPr>
              <w:t xml:space="preserve">120) = </w:t>
            </w:r>
          </w:p>
          <w:p w:rsidR="00BC04C8" w:rsidRDefault="00BC04C8" w:rsidP="00BC04C8">
            <w:pPr>
              <w:tabs>
                <w:tab w:val="left" w:pos="851"/>
                <w:tab w:val="left" w:pos="1418"/>
              </w:tabs>
              <w:jc w:val="left"/>
              <w:rPr>
                <w:bCs/>
                <w:color w:val="FF0000"/>
                <w:sz w:val="20"/>
                <w:szCs w:val="20"/>
              </w:rPr>
            </w:pPr>
            <w:r w:rsidRPr="003F7A2C">
              <w:rPr>
                <w:bCs/>
                <w:sz w:val="20"/>
                <w:szCs w:val="20"/>
              </w:rPr>
              <w:t>1 500 € non déductible fiscalement</w:t>
            </w:r>
            <w:r>
              <w:rPr>
                <w:bCs/>
                <w:sz w:val="20"/>
                <w:szCs w:val="20"/>
              </w:rPr>
              <w:t xml:space="preserve">, à réintégrer </w:t>
            </w:r>
            <w:r>
              <w:rPr>
                <w:bCs/>
                <w:color w:val="FF0000"/>
                <w:sz w:val="20"/>
                <w:szCs w:val="20"/>
              </w:rPr>
              <w:t xml:space="preserve"> </w:t>
            </w:r>
          </w:p>
          <w:p w:rsidR="00BC04C8" w:rsidRPr="00774C58" w:rsidRDefault="00BC04C8" w:rsidP="00BC04C8">
            <w:pPr>
              <w:tabs>
                <w:tab w:val="left" w:pos="851"/>
                <w:tab w:val="left" w:pos="1418"/>
              </w:tabs>
              <w:jc w:val="left"/>
              <w:rPr>
                <w:bCs/>
                <w:color w:val="000000"/>
                <w:sz w:val="20"/>
                <w:szCs w:val="20"/>
              </w:rPr>
            </w:pPr>
          </w:p>
        </w:tc>
        <w:tc>
          <w:tcPr>
            <w:tcW w:w="1276" w:type="dxa"/>
          </w:tcPr>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r>
              <w:rPr>
                <w:bCs/>
                <w:color w:val="000000"/>
                <w:sz w:val="20"/>
                <w:szCs w:val="20"/>
              </w:rPr>
              <w:t>3 300</w:t>
            </w:r>
          </w:p>
          <w:p w:rsidR="00BC04C8" w:rsidRDefault="00BC04C8" w:rsidP="00774C58">
            <w:pPr>
              <w:tabs>
                <w:tab w:val="left" w:pos="851"/>
                <w:tab w:val="left" w:pos="1418"/>
              </w:tabs>
              <w:jc w:val="center"/>
              <w:rPr>
                <w:bCs/>
                <w:color w:val="000000"/>
                <w:sz w:val="20"/>
                <w:szCs w:val="20"/>
              </w:rPr>
            </w:pPr>
          </w:p>
          <w:p w:rsidR="00BC04C8" w:rsidRPr="00774C58" w:rsidRDefault="00BC04C8" w:rsidP="00774C58">
            <w:pPr>
              <w:tabs>
                <w:tab w:val="left" w:pos="851"/>
                <w:tab w:val="left" w:pos="1418"/>
              </w:tabs>
              <w:jc w:val="center"/>
              <w:rPr>
                <w:bCs/>
                <w:color w:val="000000"/>
                <w:sz w:val="20"/>
                <w:szCs w:val="20"/>
              </w:rPr>
            </w:pPr>
            <w:r>
              <w:rPr>
                <w:bCs/>
                <w:color w:val="000000"/>
                <w:sz w:val="20"/>
                <w:szCs w:val="20"/>
              </w:rPr>
              <w:t xml:space="preserve"> </w:t>
            </w:r>
          </w:p>
        </w:tc>
        <w:tc>
          <w:tcPr>
            <w:tcW w:w="1701" w:type="dxa"/>
          </w:tcPr>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Pr="00774C58" w:rsidRDefault="00BC04C8" w:rsidP="00774C58">
            <w:pPr>
              <w:tabs>
                <w:tab w:val="left" w:pos="851"/>
                <w:tab w:val="left" w:pos="1418"/>
              </w:tabs>
              <w:jc w:val="center"/>
              <w:rPr>
                <w:bCs/>
                <w:color w:val="000000"/>
                <w:sz w:val="20"/>
                <w:szCs w:val="20"/>
              </w:rPr>
            </w:pPr>
            <w:r>
              <w:rPr>
                <w:bCs/>
                <w:color w:val="000000"/>
                <w:sz w:val="20"/>
                <w:szCs w:val="20"/>
              </w:rPr>
              <w:t>1 500</w:t>
            </w:r>
          </w:p>
        </w:tc>
      </w:tr>
      <w:tr w:rsidR="00BC04C8" w:rsidRPr="00774C58" w:rsidTr="00BC04C8">
        <w:trPr>
          <w:trHeight w:val="2383"/>
        </w:trPr>
        <w:tc>
          <w:tcPr>
            <w:tcW w:w="2518" w:type="dxa"/>
            <w:vAlign w:val="center"/>
          </w:tcPr>
          <w:p w:rsidR="00BC04C8" w:rsidRDefault="00BC04C8" w:rsidP="00E76E55">
            <w:pPr>
              <w:tabs>
                <w:tab w:val="left" w:pos="851"/>
                <w:tab w:val="left" w:pos="1418"/>
              </w:tabs>
              <w:jc w:val="left"/>
              <w:rPr>
                <w:bCs/>
                <w:color w:val="000000"/>
                <w:sz w:val="20"/>
                <w:szCs w:val="20"/>
              </w:rPr>
            </w:pPr>
            <w:r>
              <w:rPr>
                <w:bCs/>
                <w:color w:val="000000"/>
                <w:sz w:val="20"/>
                <w:szCs w:val="20"/>
              </w:rPr>
              <w:t>Sinistre</w:t>
            </w:r>
          </w:p>
        </w:tc>
        <w:tc>
          <w:tcPr>
            <w:tcW w:w="4678" w:type="dxa"/>
            <w:vAlign w:val="center"/>
          </w:tcPr>
          <w:p w:rsidR="00BC04C8" w:rsidRDefault="00BC04C8" w:rsidP="00BC04C8">
            <w:pPr>
              <w:tabs>
                <w:tab w:val="left" w:pos="851"/>
                <w:tab w:val="left" w:pos="1418"/>
              </w:tabs>
              <w:jc w:val="left"/>
              <w:rPr>
                <w:bCs/>
                <w:color w:val="000000"/>
                <w:sz w:val="20"/>
                <w:szCs w:val="20"/>
              </w:rPr>
            </w:pPr>
            <w:r>
              <w:rPr>
                <w:bCs/>
                <w:color w:val="000000"/>
                <w:sz w:val="20"/>
                <w:szCs w:val="20"/>
              </w:rPr>
              <w:t>La PVNCT de 2014 est imposable à compter de 2015 à parts égales sur 5 ans :</w:t>
            </w:r>
          </w:p>
          <w:p w:rsidR="00BC04C8" w:rsidRDefault="00BC04C8" w:rsidP="00BC04C8">
            <w:pPr>
              <w:tabs>
                <w:tab w:val="left" w:pos="851"/>
                <w:tab w:val="left" w:pos="1418"/>
              </w:tabs>
              <w:jc w:val="left"/>
              <w:rPr>
                <w:bCs/>
                <w:color w:val="000000"/>
                <w:sz w:val="20"/>
                <w:szCs w:val="20"/>
              </w:rPr>
            </w:pPr>
            <w:r>
              <w:rPr>
                <w:bCs/>
                <w:color w:val="000000"/>
                <w:sz w:val="20"/>
                <w:szCs w:val="20"/>
              </w:rPr>
              <w:t>Durée d’étalement = 4 ans et 2 mois = 5 ans</w:t>
            </w:r>
          </w:p>
          <w:p w:rsidR="00BC04C8" w:rsidRDefault="00BC04C8" w:rsidP="00BC04C8">
            <w:pPr>
              <w:tabs>
                <w:tab w:val="left" w:pos="851"/>
                <w:tab w:val="left" w:pos="1418"/>
              </w:tabs>
              <w:jc w:val="left"/>
              <w:rPr>
                <w:bCs/>
                <w:color w:val="000000"/>
                <w:sz w:val="20"/>
                <w:szCs w:val="20"/>
              </w:rPr>
            </w:pPr>
            <w:r>
              <w:rPr>
                <w:bCs/>
                <w:color w:val="000000"/>
                <w:sz w:val="20"/>
                <w:szCs w:val="20"/>
              </w:rPr>
              <w:t>Montant imposable pour 2015 = 60 000 / 5 = 12 000</w:t>
            </w:r>
          </w:p>
          <w:p w:rsidR="00BC04C8" w:rsidRDefault="00BC04C8" w:rsidP="00BC04C8">
            <w:pPr>
              <w:tabs>
                <w:tab w:val="left" w:pos="851"/>
                <w:tab w:val="left" w:pos="1418"/>
              </w:tabs>
              <w:jc w:val="left"/>
              <w:rPr>
                <w:bCs/>
                <w:color w:val="000000"/>
                <w:sz w:val="20"/>
                <w:szCs w:val="20"/>
              </w:rPr>
            </w:pPr>
            <w:r>
              <w:rPr>
                <w:bCs/>
                <w:color w:val="000000"/>
                <w:sz w:val="20"/>
                <w:szCs w:val="20"/>
              </w:rPr>
              <w:t>La provision pour IS fait l’objet d’une reprise pour 60 000 / 3 x 1/5 = 4 000 €</w:t>
            </w:r>
          </w:p>
          <w:p w:rsidR="00BC04C8" w:rsidRDefault="00BC04C8" w:rsidP="00BC04C8">
            <w:pPr>
              <w:tabs>
                <w:tab w:val="left" w:pos="851"/>
                <w:tab w:val="left" w:pos="1418"/>
              </w:tabs>
              <w:jc w:val="left"/>
              <w:rPr>
                <w:bCs/>
                <w:color w:val="000000"/>
                <w:sz w:val="20"/>
                <w:szCs w:val="20"/>
              </w:rPr>
            </w:pPr>
            <w:r>
              <w:rPr>
                <w:bCs/>
                <w:color w:val="000000"/>
                <w:sz w:val="20"/>
                <w:szCs w:val="20"/>
              </w:rPr>
              <w:t>Cette reprise concernant un impôt non déductible n’est donc pas imposable (à déduire)</w:t>
            </w:r>
          </w:p>
        </w:tc>
        <w:tc>
          <w:tcPr>
            <w:tcW w:w="1276" w:type="dxa"/>
          </w:tcPr>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r>
              <w:rPr>
                <w:bCs/>
                <w:color w:val="000000"/>
                <w:sz w:val="20"/>
                <w:szCs w:val="20"/>
              </w:rPr>
              <w:t>4 000</w:t>
            </w:r>
          </w:p>
        </w:tc>
        <w:tc>
          <w:tcPr>
            <w:tcW w:w="1701" w:type="dxa"/>
          </w:tcPr>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774C58">
            <w:pPr>
              <w:tabs>
                <w:tab w:val="left" w:pos="851"/>
                <w:tab w:val="left" w:pos="1418"/>
              </w:tabs>
              <w:jc w:val="center"/>
              <w:rPr>
                <w:bCs/>
                <w:color w:val="000000"/>
                <w:sz w:val="20"/>
                <w:szCs w:val="20"/>
              </w:rPr>
            </w:pPr>
          </w:p>
          <w:p w:rsidR="00BC04C8" w:rsidRDefault="00BC04C8" w:rsidP="00BC04C8">
            <w:pPr>
              <w:tabs>
                <w:tab w:val="left" w:pos="851"/>
                <w:tab w:val="left" w:pos="1418"/>
              </w:tabs>
              <w:rPr>
                <w:bCs/>
                <w:color w:val="000000"/>
                <w:sz w:val="20"/>
                <w:szCs w:val="20"/>
              </w:rPr>
            </w:pPr>
          </w:p>
          <w:p w:rsidR="00BC04C8" w:rsidRPr="00774C58" w:rsidRDefault="00BC04C8" w:rsidP="00BC04C8">
            <w:pPr>
              <w:tabs>
                <w:tab w:val="left" w:pos="851"/>
                <w:tab w:val="left" w:pos="1418"/>
              </w:tabs>
              <w:jc w:val="center"/>
              <w:rPr>
                <w:bCs/>
                <w:color w:val="000000"/>
                <w:sz w:val="20"/>
                <w:szCs w:val="20"/>
              </w:rPr>
            </w:pPr>
            <w:r>
              <w:rPr>
                <w:bCs/>
                <w:color w:val="000000"/>
                <w:sz w:val="20"/>
                <w:szCs w:val="20"/>
              </w:rPr>
              <w:t>12 000</w:t>
            </w:r>
          </w:p>
        </w:tc>
      </w:tr>
      <w:tr w:rsidR="00BC04C8" w:rsidRPr="00774C58" w:rsidTr="00FF172E">
        <w:trPr>
          <w:trHeight w:val="985"/>
        </w:trPr>
        <w:tc>
          <w:tcPr>
            <w:tcW w:w="2518" w:type="dxa"/>
            <w:vAlign w:val="center"/>
          </w:tcPr>
          <w:p w:rsidR="00BC04C8" w:rsidRDefault="00BC04C8" w:rsidP="00E76E55">
            <w:pPr>
              <w:tabs>
                <w:tab w:val="left" w:pos="851"/>
                <w:tab w:val="left" w:pos="1418"/>
              </w:tabs>
              <w:jc w:val="left"/>
              <w:rPr>
                <w:bCs/>
                <w:color w:val="000000"/>
                <w:sz w:val="20"/>
                <w:szCs w:val="20"/>
              </w:rPr>
            </w:pPr>
            <w:r>
              <w:rPr>
                <w:bCs/>
                <w:color w:val="000000"/>
                <w:sz w:val="20"/>
                <w:szCs w:val="20"/>
              </w:rPr>
              <w:t>CICE</w:t>
            </w:r>
          </w:p>
          <w:p w:rsidR="00BC04C8" w:rsidRPr="003F7A2C" w:rsidRDefault="00BC04C8" w:rsidP="00E76E55">
            <w:pPr>
              <w:tabs>
                <w:tab w:val="left" w:pos="851"/>
                <w:tab w:val="left" w:pos="1418"/>
              </w:tabs>
              <w:jc w:val="left"/>
              <w:rPr>
                <w:bCs/>
                <w:color w:val="FF0000"/>
                <w:sz w:val="20"/>
                <w:szCs w:val="20"/>
              </w:rPr>
            </w:pPr>
          </w:p>
        </w:tc>
        <w:tc>
          <w:tcPr>
            <w:tcW w:w="4678" w:type="dxa"/>
            <w:vAlign w:val="center"/>
          </w:tcPr>
          <w:p w:rsidR="00BC04C8" w:rsidRDefault="00BC04C8" w:rsidP="00BC04C8">
            <w:pPr>
              <w:tabs>
                <w:tab w:val="left" w:pos="851"/>
                <w:tab w:val="left" w:pos="1418"/>
              </w:tabs>
              <w:jc w:val="left"/>
              <w:rPr>
                <w:bCs/>
                <w:color w:val="000000"/>
                <w:sz w:val="20"/>
                <w:szCs w:val="20"/>
              </w:rPr>
            </w:pPr>
            <w:r>
              <w:rPr>
                <w:bCs/>
                <w:color w:val="000000"/>
                <w:sz w:val="20"/>
                <w:szCs w:val="20"/>
              </w:rPr>
              <w:t xml:space="preserve">Le CICE comptabilisé en réduction de charges est un produit non imposable. A déduire du résultat fiscal. </w:t>
            </w:r>
          </w:p>
          <w:p w:rsidR="00BC04C8" w:rsidRPr="00774C58" w:rsidRDefault="00BC04C8" w:rsidP="00BC04C8">
            <w:pPr>
              <w:tabs>
                <w:tab w:val="left" w:pos="851"/>
                <w:tab w:val="left" w:pos="1418"/>
              </w:tabs>
              <w:jc w:val="left"/>
              <w:rPr>
                <w:bCs/>
                <w:color w:val="000000"/>
                <w:sz w:val="20"/>
                <w:szCs w:val="20"/>
              </w:rPr>
            </w:pPr>
          </w:p>
        </w:tc>
        <w:tc>
          <w:tcPr>
            <w:tcW w:w="1276" w:type="dxa"/>
          </w:tcPr>
          <w:p w:rsidR="00BC04C8" w:rsidRDefault="00BC04C8" w:rsidP="00774C58">
            <w:pPr>
              <w:tabs>
                <w:tab w:val="left" w:pos="851"/>
                <w:tab w:val="left" w:pos="1418"/>
              </w:tabs>
              <w:jc w:val="center"/>
              <w:rPr>
                <w:bCs/>
                <w:color w:val="000000"/>
                <w:sz w:val="20"/>
                <w:szCs w:val="20"/>
              </w:rPr>
            </w:pPr>
          </w:p>
          <w:p w:rsidR="00BC04C8" w:rsidRPr="00774C58" w:rsidRDefault="00BC04C8" w:rsidP="00774C58">
            <w:pPr>
              <w:tabs>
                <w:tab w:val="left" w:pos="851"/>
                <w:tab w:val="left" w:pos="1418"/>
              </w:tabs>
              <w:jc w:val="center"/>
              <w:rPr>
                <w:bCs/>
                <w:color w:val="000000"/>
                <w:sz w:val="20"/>
                <w:szCs w:val="20"/>
              </w:rPr>
            </w:pPr>
            <w:r>
              <w:rPr>
                <w:bCs/>
                <w:color w:val="000000"/>
                <w:sz w:val="20"/>
                <w:szCs w:val="20"/>
              </w:rPr>
              <w:t>18 500</w:t>
            </w:r>
          </w:p>
        </w:tc>
        <w:tc>
          <w:tcPr>
            <w:tcW w:w="1701" w:type="dxa"/>
          </w:tcPr>
          <w:p w:rsidR="00BC04C8" w:rsidRPr="00774C58" w:rsidRDefault="00BC04C8" w:rsidP="00774C58">
            <w:pPr>
              <w:tabs>
                <w:tab w:val="left" w:pos="851"/>
                <w:tab w:val="left" w:pos="1418"/>
              </w:tabs>
              <w:jc w:val="center"/>
              <w:rPr>
                <w:bCs/>
                <w:color w:val="000000"/>
                <w:sz w:val="20"/>
                <w:szCs w:val="20"/>
              </w:rPr>
            </w:pPr>
          </w:p>
        </w:tc>
      </w:tr>
      <w:tr w:rsidR="00BC04C8" w:rsidRPr="00774C58" w:rsidTr="00FF172E">
        <w:trPr>
          <w:trHeight w:val="481"/>
        </w:trPr>
        <w:tc>
          <w:tcPr>
            <w:tcW w:w="2518" w:type="dxa"/>
          </w:tcPr>
          <w:p w:rsidR="00BC04C8" w:rsidRPr="00774C58" w:rsidRDefault="00BC04C8" w:rsidP="00C86A70">
            <w:pPr>
              <w:tabs>
                <w:tab w:val="left" w:pos="851"/>
                <w:tab w:val="left" w:pos="1418"/>
              </w:tabs>
              <w:rPr>
                <w:bCs/>
                <w:color w:val="000000"/>
                <w:sz w:val="20"/>
                <w:szCs w:val="20"/>
              </w:rPr>
            </w:pPr>
          </w:p>
        </w:tc>
        <w:tc>
          <w:tcPr>
            <w:tcW w:w="4678" w:type="dxa"/>
            <w:tcBorders>
              <w:bottom w:val="single" w:sz="4" w:space="0" w:color="auto"/>
            </w:tcBorders>
            <w:vAlign w:val="center"/>
          </w:tcPr>
          <w:p w:rsidR="00BC04C8" w:rsidRPr="00774C58" w:rsidRDefault="00BC04C8" w:rsidP="003A0B52">
            <w:pPr>
              <w:tabs>
                <w:tab w:val="left" w:pos="851"/>
                <w:tab w:val="left" w:pos="1418"/>
              </w:tabs>
              <w:jc w:val="center"/>
              <w:rPr>
                <w:bCs/>
                <w:color w:val="000000"/>
                <w:sz w:val="20"/>
                <w:szCs w:val="20"/>
              </w:rPr>
            </w:pPr>
            <w:r>
              <w:rPr>
                <w:bCs/>
                <w:color w:val="000000"/>
                <w:sz w:val="20"/>
                <w:szCs w:val="20"/>
              </w:rPr>
              <w:t>Totaux</w:t>
            </w:r>
          </w:p>
        </w:tc>
        <w:tc>
          <w:tcPr>
            <w:tcW w:w="1276" w:type="dxa"/>
            <w:tcBorders>
              <w:bottom w:val="single" w:sz="4" w:space="0" w:color="auto"/>
            </w:tcBorders>
            <w:vAlign w:val="center"/>
          </w:tcPr>
          <w:p w:rsidR="00BC04C8" w:rsidRPr="00774C58" w:rsidRDefault="00BC04C8" w:rsidP="003A0B52">
            <w:pPr>
              <w:tabs>
                <w:tab w:val="left" w:pos="851"/>
                <w:tab w:val="left" w:pos="1418"/>
              </w:tabs>
              <w:jc w:val="center"/>
              <w:rPr>
                <w:bCs/>
                <w:color w:val="000000"/>
                <w:sz w:val="20"/>
                <w:szCs w:val="20"/>
              </w:rPr>
            </w:pPr>
            <w:r>
              <w:rPr>
                <w:bCs/>
                <w:color w:val="000000"/>
                <w:sz w:val="20"/>
                <w:szCs w:val="20"/>
              </w:rPr>
              <w:t>86 300</w:t>
            </w:r>
          </w:p>
        </w:tc>
        <w:tc>
          <w:tcPr>
            <w:tcW w:w="1701" w:type="dxa"/>
            <w:tcBorders>
              <w:bottom w:val="single" w:sz="4" w:space="0" w:color="auto"/>
            </w:tcBorders>
            <w:vAlign w:val="center"/>
          </w:tcPr>
          <w:p w:rsidR="00BC04C8" w:rsidRPr="00774C58" w:rsidRDefault="00BC04C8" w:rsidP="003A0B52">
            <w:pPr>
              <w:tabs>
                <w:tab w:val="left" w:pos="851"/>
                <w:tab w:val="left" w:pos="1418"/>
              </w:tabs>
              <w:jc w:val="center"/>
              <w:rPr>
                <w:bCs/>
                <w:color w:val="000000"/>
                <w:sz w:val="20"/>
                <w:szCs w:val="20"/>
              </w:rPr>
            </w:pPr>
            <w:r>
              <w:rPr>
                <w:bCs/>
                <w:color w:val="000000"/>
                <w:sz w:val="20"/>
                <w:szCs w:val="20"/>
              </w:rPr>
              <w:t>278 665</w:t>
            </w:r>
          </w:p>
        </w:tc>
      </w:tr>
      <w:tr w:rsidR="00BC04C8" w:rsidRPr="00774C58" w:rsidTr="00FF172E">
        <w:trPr>
          <w:trHeight w:val="20"/>
        </w:trPr>
        <w:tc>
          <w:tcPr>
            <w:tcW w:w="2518" w:type="dxa"/>
            <w:vMerge w:val="restart"/>
            <w:vAlign w:val="center"/>
          </w:tcPr>
          <w:p w:rsidR="00BC04C8" w:rsidRPr="008F4BD4" w:rsidRDefault="00BC04C8" w:rsidP="008F4BD4">
            <w:pPr>
              <w:tabs>
                <w:tab w:val="left" w:pos="709"/>
                <w:tab w:val="left" w:pos="993"/>
                <w:tab w:val="left" w:pos="1418"/>
              </w:tabs>
              <w:ind w:left="709"/>
              <w:jc w:val="left"/>
              <w:rPr>
                <w:bCs/>
                <w:color w:val="FF0000"/>
                <w:sz w:val="20"/>
                <w:szCs w:val="20"/>
              </w:rPr>
            </w:pPr>
          </w:p>
        </w:tc>
        <w:tc>
          <w:tcPr>
            <w:tcW w:w="4678" w:type="dxa"/>
            <w:tcBorders>
              <w:bottom w:val="nil"/>
            </w:tcBorders>
            <w:vAlign w:val="center"/>
          </w:tcPr>
          <w:p w:rsidR="003A0B52" w:rsidRDefault="003A0B52" w:rsidP="00BC04C8">
            <w:pPr>
              <w:tabs>
                <w:tab w:val="left" w:pos="851"/>
                <w:tab w:val="left" w:pos="1418"/>
              </w:tabs>
              <w:jc w:val="left"/>
              <w:rPr>
                <w:bCs/>
                <w:color w:val="000000"/>
                <w:sz w:val="20"/>
                <w:szCs w:val="20"/>
              </w:rPr>
            </w:pPr>
          </w:p>
          <w:p w:rsidR="00BC04C8" w:rsidRPr="00774C58" w:rsidRDefault="00BC04C8" w:rsidP="00BC04C8">
            <w:pPr>
              <w:tabs>
                <w:tab w:val="left" w:pos="851"/>
                <w:tab w:val="left" w:pos="1418"/>
              </w:tabs>
              <w:jc w:val="left"/>
              <w:rPr>
                <w:bCs/>
                <w:color w:val="000000"/>
                <w:sz w:val="20"/>
                <w:szCs w:val="20"/>
              </w:rPr>
            </w:pPr>
            <w:r>
              <w:rPr>
                <w:bCs/>
                <w:color w:val="000000"/>
                <w:sz w:val="20"/>
                <w:szCs w:val="20"/>
              </w:rPr>
              <w:t>Résultat fiscal de l’exercice</w:t>
            </w:r>
          </w:p>
        </w:tc>
        <w:tc>
          <w:tcPr>
            <w:tcW w:w="2977" w:type="dxa"/>
            <w:gridSpan w:val="2"/>
            <w:tcBorders>
              <w:bottom w:val="nil"/>
            </w:tcBorders>
          </w:tcPr>
          <w:p w:rsidR="003A0B52" w:rsidRDefault="003A0B52" w:rsidP="008F4BD4">
            <w:pPr>
              <w:tabs>
                <w:tab w:val="left" w:pos="884"/>
                <w:tab w:val="left" w:pos="1418"/>
              </w:tabs>
              <w:ind w:left="884" w:firstLine="142"/>
              <w:rPr>
                <w:bCs/>
                <w:color w:val="000000"/>
                <w:sz w:val="20"/>
                <w:szCs w:val="20"/>
              </w:rPr>
            </w:pPr>
          </w:p>
          <w:p w:rsidR="00BC04C8" w:rsidRPr="00774C58" w:rsidRDefault="00BC04C8" w:rsidP="008F4BD4">
            <w:pPr>
              <w:tabs>
                <w:tab w:val="left" w:pos="884"/>
                <w:tab w:val="left" w:pos="1418"/>
              </w:tabs>
              <w:ind w:left="884" w:firstLine="142"/>
              <w:rPr>
                <w:bCs/>
                <w:color w:val="000000"/>
                <w:sz w:val="20"/>
                <w:szCs w:val="20"/>
              </w:rPr>
            </w:pPr>
            <w:r>
              <w:rPr>
                <w:bCs/>
                <w:color w:val="000000"/>
                <w:sz w:val="20"/>
                <w:szCs w:val="20"/>
              </w:rPr>
              <w:t>192 365</w:t>
            </w:r>
          </w:p>
        </w:tc>
      </w:tr>
      <w:tr w:rsidR="00BC04C8" w:rsidRPr="00774C58" w:rsidTr="00FF172E">
        <w:trPr>
          <w:trHeight w:val="20"/>
        </w:trPr>
        <w:tc>
          <w:tcPr>
            <w:tcW w:w="2518" w:type="dxa"/>
            <w:vMerge/>
          </w:tcPr>
          <w:p w:rsidR="00BC04C8" w:rsidRPr="00774C58" w:rsidRDefault="00BC04C8" w:rsidP="00C86A70">
            <w:pPr>
              <w:tabs>
                <w:tab w:val="left" w:pos="851"/>
                <w:tab w:val="left" w:pos="1418"/>
              </w:tabs>
              <w:rPr>
                <w:bCs/>
                <w:color w:val="000000"/>
                <w:sz w:val="20"/>
                <w:szCs w:val="20"/>
              </w:rPr>
            </w:pPr>
          </w:p>
        </w:tc>
        <w:tc>
          <w:tcPr>
            <w:tcW w:w="4678" w:type="dxa"/>
            <w:tcBorders>
              <w:top w:val="nil"/>
              <w:bottom w:val="nil"/>
            </w:tcBorders>
            <w:vAlign w:val="center"/>
          </w:tcPr>
          <w:p w:rsidR="00BC04C8" w:rsidRPr="003F7A2C" w:rsidRDefault="00BC04C8" w:rsidP="00BC04C8">
            <w:pPr>
              <w:tabs>
                <w:tab w:val="left" w:pos="851"/>
                <w:tab w:val="left" w:pos="1418"/>
              </w:tabs>
              <w:jc w:val="left"/>
              <w:rPr>
                <w:bCs/>
                <w:sz w:val="20"/>
                <w:szCs w:val="20"/>
              </w:rPr>
            </w:pPr>
            <w:r>
              <w:rPr>
                <w:bCs/>
                <w:color w:val="000000"/>
                <w:sz w:val="20"/>
                <w:szCs w:val="20"/>
              </w:rPr>
              <w:t>(-) déficit fiscal 2014 reporté en avant</w:t>
            </w:r>
            <w:r w:rsidRPr="00EC2D16">
              <w:rPr>
                <w:bCs/>
                <w:sz w:val="20"/>
                <w:szCs w:val="20"/>
              </w:rPr>
              <w:t xml:space="preserve"> (192 000 – 84 000)</w:t>
            </w:r>
          </w:p>
        </w:tc>
        <w:tc>
          <w:tcPr>
            <w:tcW w:w="2977" w:type="dxa"/>
            <w:gridSpan w:val="2"/>
            <w:tcBorders>
              <w:top w:val="nil"/>
              <w:bottom w:val="nil"/>
            </w:tcBorders>
          </w:tcPr>
          <w:p w:rsidR="00BC04C8" w:rsidRPr="00774C58" w:rsidRDefault="00BC04C8" w:rsidP="008F4BD4">
            <w:pPr>
              <w:tabs>
                <w:tab w:val="left" w:pos="175"/>
                <w:tab w:val="left" w:pos="964"/>
                <w:tab w:val="left" w:pos="1026"/>
                <w:tab w:val="left" w:pos="1168"/>
              </w:tabs>
              <w:ind w:left="742" w:hanging="851"/>
              <w:jc w:val="center"/>
              <w:rPr>
                <w:bCs/>
                <w:color w:val="000000"/>
                <w:sz w:val="20"/>
                <w:szCs w:val="20"/>
              </w:rPr>
            </w:pPr>
            <w:r>
              <w:rPr>
                <w:bCs/>
                <w:color w:val="000000"/>
                <w:sz w:val="20"/>
                <w:szCs w:val="20"/>
              </w:rPr>
              <w:t>(-) 108 000</w:t>
            </w:r>
          </w:p>
        </w:tc>
      </w:tr>
      <w:tr w:rsidR="00BC04C8" w:rsidRPr="00774C58" w:rsidTr="00FF172E">
        <w:trPr>
          <w:trHeight w:val="776"/>
        </w:trPr>
        <w:tc>
          <w:tcPr>
            <w:tcW w:w="2518" w:type="dxa"/>
            <w:vMerge/>
          </w:tcPr>
          <w:p w:rsidR="00BC04C8" w:rsidRPr="00774C58" w:rsidRDefault="00BC04C8" w:rsidP="00C86A70">
            <w:pPr>
              <w:tabs>
                <w:tab w:val="left" w:pos="851"/>
                <w:tab w:val="left" w:pos="1418"/>
              </w:tabs>
              <w:rPr>
                <w:bCs/>
                <w:color w:val="000000"/>
                <w:sz w:val="20"/>
                <w:szCs w:val="20"/>
              </w:rPr>
            </w:pPr>
          </w:p>
        </w:tc>
        <w:tc>
          <w:tcPr>
            <w:tcW w:w="4678" w:type="dxa"/>
            <w:tcBorders>
              <w:top w:val="nil"/>
            </w:tcBorders>
            <w:vAlign w:val="center"/>
          </w:tcPr>
          <w:p w:rsidR="00BC04C8" w:rsidRPr="00774C58" w:rsidRDefault="00BC04C8" w:rsidP="00BC04C8">
            <w:pPr>
              <w:tabs>
                <w:tab w:val="left" w:pos="851"/>
                <w:tab w:val="left" w:pos="1418"/>
              </w:tabs>
              <w:jc w:val="left"/>
              <w:rPr>
                <w:bCs/>
                <w:color w:val="000000"/>
                <w:sz w:val="20"/>
                <w:szCs w:val="20"/>
              </w:rPr>
            </w:pPr>
            <w:r>
              <w:rPr>
                <w:bCs/>
                <w:color w:val="000000"/>
                <w:sz w:val="20"/>
                <w:szCs w:val="20"/>
              </w:rPr>
              <w:t xml:space="preserve">Résultat fiscal définitif   </w:t>
            </w:r>
          </w:p>
        </w:tc>
        <w:tc>
          <w:tcPr>
            <w:tcW w:w="2977" w:type="dxa"/>
            <w:gridSpan w:val="2"/>
            <w:tcBorders>
              <w:top w:val="nil"/>
            </w:tcBorders>
            <w:vAlign w:val="center"/>
          </w:tcPr>
          <w:p w:rsidR="00BC04C8" w:rsidRPr="005202D3" w:rsidRDefault="00BC04C8" w:rsidP="00501158">
            <w:pPr>
              <w:tabs>
                <w:tab w:val="left" w:pos="1168"/>
                <w:tab w:val="left" w:pos="1418"/>
              </w:tabs>
              <w:ind w:left="1168" w:hanging="993"/>
              <w:jc w:val="center"/>
              <w:rPr>
                <w:b/>
                <w:bCs/>
                <w:color w:val="000000"/>
                <w:sz w:val="20"/>
                <w:szCs w:val="20"/>
              </w:rPr>
            </w:pPr>
            <w:r>
              <w:rPr>
                <w:bCs/>
                <w:color w:val="000000"/>
                <w:sz w:val="20"/>
                <w:szCs w:val="20"/>
              </w:rPr>
              <w:t xml:space="preserve">    </w:t>
            </w:r>
            <w:r>
              <w:rPr>
                <w:b/>
                <w:bCs/>
                <w:color w:val="000000"/>
                <w:sz w:val="20"/>
                <w:szCs w:val="20"/>
              </w:rPr>
              <w:t>84 365</w:t>
            </w:r>
            <w:r w:rsidRPr="005202D3">
              <w:rPr>
                <w:b/>
                <w:bCs/>
                <w:color w:val="000000"/>
                <w:sz w:val="20"/>
                <w:szCs w:val="20"/>
              </w:rPr>
              <w:t xml:space="preserve"> €</w:t>
            </w:r>
          </w:p>
        </w:tc>
      </w:tr>
    </w:tbl>
    <w:p w:rsidR="00774C58" w:rsidRDefault="00774C58" w:rsidP="00774C58">
      <w:pPr>
        <w:tabs>
          <w:tab w:val="left" w:pos="851"/>
          <w:tab w:val="left" w:pos="1418"/>
        </w:tabs>
        <w:rPr>
          <w:b/>
          <w:bCs/>
          <w:color w:val="000000"/>
          <w:sz w:val="22"/>
        </w:rPr>
      </w:pPr>
    </w:p>
    <w:p w:rsidR="001B61C3" w:rsidRDefault="001B61C3" w:rsidP="00774C58">
      <w:pPr>
        <w:tabs>
          <w:tab w:val="left" w:pos="851"/>
          <w:tab w:val="left" w:pos="1418"/>
        </w:tabs>
        <w:rPr>
          <w:b/>
          <w:bCs/>
          <w:color w:val="000000"/>
          <w:sz w:val="22"/>
        </w:rPr>
      </w:pPr>
    </w:p>
    <w:p w:rsidR="00501158" w:rsidRPr="00DA0FC7" w:rsidRDefault="00501158" w:rsidP="009C4458">
      <w:pPr>
        <w:pStyle w:val="Paragraphedeliste"/>
        <w:numPr>
          <w:ilvl w:val="0"/>
          <w:numId w:val="3"/>
        </w:numPr>
        <w:tabs>
          <w:tab w:val="left" w:pos="851"/>
          <w:tab w:val="left" w:pos="1418"/>
        </w:tabs>
        <w:spacing w:before="0"/>
        <w:jc w:val="both"/>
        <w:rPr>
          <w:rFonts w:ascii="Times New Roman" w:hAnsi="Times New Roman"/>
          <w:b/>
          <w:bCs/>
          <w:color w:val="000000"/>
        </w:rPr>
      </w:pPr>
      <w:r w:rsidRPr="00DA0FC7">
        <w:rPr>
          <w:rFonts w:ascii="Times New Roman" w:hAnsi="Times New Roman"/>
          <w:b/>
          <w:bCs/>
          <w:color w:val="000000"/>
        </w:rPr>
        <w:t>Indiquer les modalités de calcul et d’utilisation du crédit d’impôt pour la compétitivité et l’emploi</w:t>
      </w:r>
      <w:r>
        <w:rPr>
          <w:rFonts w:ascii="Times New Roman" w:hAnsi="Times New Roman"/>
          <w:b/>
          <w:bCs/>
          <w:color w:val="000000"/>
        </w:rPr>
        <w:t xml:space="preserve"> (CICE)</w:t>
      </w:r>
      <w:r w:rsidRPr="00DA0FC7">
        <w:rPr>
          <w:rFonts w:ascii="Times New Roman" w:hAnsi="Times New Roman"/>
          <w:b/>
          <w:bCs/>
          <w:color w:val="000000"/>
        </w:rPr>
        <w:t>.</w:t>
      </w:r>
    </w:p>
    <w:p w:rsidR="00501158" w:rsidRDefault="00501158" w:rsidP="00774C58">
      <w:pPr>
        <w:tabs>
          <w:tab w:val="left" w:pos="851"/>
          <w:tab w:val="left" w:pos="1418"/>
        </w:tabs>
        <w:rPr>
          <w:b/>
          <w:bCs/>
          <w:color w:val="FF0000"/>
          <w:sz w:val="22"/>
        </w:rPr>
      </w:pPr>
    </w:p>
    <w:p w:rsidR="00AF5335" w:rsidRDefault="00AF5335" w:rsidP="00774C58">
      <w:pPr>
        <w:tabs>
          <w:tab w:val="left" w:pos="851"/>
          <w:tab w:val="left" w:pos="1418"/>
        </w:tabs>
        <w:rPr>
          <w:bCs/>
          <w:color w:val="FF0000"/>
          <w:sz w:val="22"/>
        </w:rPr>
      </w:pPr>
      <w:r w:rsidRPr="00AF5335">
        <w:rPr>
          <w:bCs/>
          <w:sz w:val="22"/>
        </w:rPr>
        <w:t>L’assiette du CICE est constituée par les rémunérati</w:t>
      </w:r>
      <w:r w:rsidR="008F195D">
        <w:rPr>
          <w:bCs/>
          <w:sz w:val="22"/>
        </w:rPr>
        <w:t xml:space="preserve">ons </w:t>
      </w:r>
      <w:r w:rsidR="00501158">
        <w:rPr>
          <w:bCs/>
          <w:sz w:val="22"/>
        </w:rPr>
        <w:t xml:space="preserve">brutes </w:t>
      </w:r>
      <w:r w:rsidR="008F195D">
        <w:rPr>
          <w:bCs/>
          <w:sz w:val="22"/>
        </w:rPr>
        <w:t>versées au cours de l’année</w:t>
      </w:r>
      <w:r w:rsidRPr="00AF5335">
        <w:rPr>
          <w:bCs/>
          <w:sz w:val="22"/>
        </w:rPr>
        <w:t xml:space="preserve"> civile qui ne dépassent pas 2,5 fois le SMIC</w:t>
      </w:r>
      <w:r>
        <w:rPr>
          <w:bCs/>
          <w:sz w:val="22"/>
        </w:rPr>
        <w:t xml:space="preserve">. </w:t>
      </w:r>
      <w:r w:rsidR="008F195D">
        <w:rPr>
          <w:bCs/>
          <w:sz w:val="22"/>
        </w:rPr>
        <w:t xml:space="preserve"> Montant du </w:t>
      </w:r>
      <w:r>
        <w:rPr>
          <w:bCs/>
          <w:sz w:val="22"/>
        </w:rPr>
        <w:t xml:space="preserve">CICE = assiette x 6 %. </w:t>
      </w:r>
      <w:r w:rsidR="003F3A45">
        <w:rPr>
          <w:bCs/>
          <w:sz w:val="22"/>
        </w:rPr>
        <w:t xml:space="preserve">   </w:t>
      </w:r>
    </w:p>
    <w:p w:rsidR="005B50EA" w:rsidRDefault="005B50EA" w:rsidP="00774C58">
      <w:pPr>
        <w:tabs>
          <w:tab w:val="left" w:pos="851"/>
          <w:tab w:val="left" w:pos="1418"/>
        </w:tabs>
        <w:rPr>
          <w:bCs/>
          <w:color w:val="FF0000"/>
          <w:sz w:val="22"/>
        </w:rPr>
      </w:pPr>
    </w:p>
    <w:p w:rsidR="00AF5335" w:rsidRDefault="00AF5335" w:rsidP="00774C58">
      <w:pPr>
        <w:tabs>
          <w:tab w:val="left" w:pos="851"/>
          <w:tab w:val="left" w:pos="1418"/>
        </w:tabs>
        <w:rPr>
          <w:bCs/>
          <w:sz w:val="22"/>
        </w:rPr>
      </w:pPr>
      <w:r>
        <w:rPr>
          <w:bCs/>
          <w:sz w:val="22"/>
        </w:rPr>
        <w:t>Le CICE s’impute sur l’IS (solde et/</w:t>
      </w:r>
      <w:r w:rsidR="008F195D">
        <w:rPr>
          <w:bCs/>
          <w:sz w:val="22"/>
        </w:rPr>
        <w:t xml:space="preserve">ou </w:t>
      </w:r>
      <w:r>
        <w:rPr>
          <w:bCs/>
          <w:sz w:val="22"/>
        </w:rPr>
        <w:t xml:space="preserve">acomptes) de l’exercice au titre duquel les rémunérations sont versées. </w:t>
      </w:r>
    </w:p>
    <w:p w:rsidR="00AF5335" w:rsidRPr="005B50EA" w:rsidRDefault="005B50EA" w:rsidP="00774C58">
      <w:pPr>
        <w:tabs>
          <w:tab w:val="left" w:pos="851"/>
          <w:tab w:val="left" w:pos="1418"/>
        </w:tabs>
        <w:rPr>
          <w:bCs/>
          <w:sz w:val="22"/>
        </w:rPr>
      </w:pPr>
      <w:r>
        <w:rPr>
          <w:bCs/>
          <w:sz w:val="22"/>
        </w:rPr>
        <w:t>L’excédent de crédit d’impôt constitue une créance sur l’Etat utilisable pour payer l’impôt des 3 exercices suivants ; la fraction non encore utilisée à l’issue de cette période est remboursée.</w:t>
      </w:r>
    </w:p>
    <w:p w:rsidR="001B61C3" w:rsidRDefault="001B61C3" w:rsidP="00774C58">
      <w:pPr>
        <w:tabs>
          <w:tab w:val="left" w:pos="851"/>
          <w:tab w:val="left" w:pos="1418"/>
        </w:tabs>
        <w:rPr>
          <w:bCs/>
          <w:color w:val="FF0000"/>
          <w:sz w:val="22"/>
        </w:rPr>
      </w:pPr>
    </w:p>
    <w:p w:rsidR="001B61C3" w:rsidRPr="00FB51DC" w:rsidRDefault="00FB51DC" w:rsidP="00774C58">
      <w:pPr>
        <w:tabs>
          <w:tab w:val="left" w:pos="851"/>
          <w:tab w:val="left" w:pos="1418"/>
        </w:tabs>
        <w:rPr>
          <w:bCs/>
          <w:sz w:val="22"/>
        </w:rPr>
      </w:pPr>
      <w:r w:rsidRPr="00FB51DC">
        <w:rPr>
          <w:bCs/>
          <w:sz w:val="22"/>
        </w:rPr>
        <w:t>Remarque : le CICE doit être utilisé pour l’investissement, dans la recherche, l’innovation, la formation, le recrutement… il ne peut pas servir à financer une hausse des bénéfices distribués ou la rémunération des dirigeants.</w:t>
      </w:r>
      <w:r>
        <w:rPr>
          <w:bCs/>
          <w:sz w:val="22"/>
        </w:rPr>
        <w:t xml:space="preserve"> Il s’agit d’obligations de transparence qui ne conditionnent pas l’attribution du CICE.</w:t>
      </w:r>
    </w:p>
    <w:p w:rsidR="00833DAB" w:rsidRDefault="00833DAB" w:rsidP="00880478">
      <w:pPr>
        <w:tabs>
          <w:tab w:val="left" w:pos="851"/>
          <w:tab w:val="left" w:pos="1418"/>
        </w:tabs>
        <w:rPr>
          <w:b/>
          <w:bCs/>
          <w:color w:val="000000"/>
        </w:rPr>
      </w:pPr>
    </w:p>
    <w:p w:rsidR="005F3A5E" w:rsidRPr="00974B4F" w:rsidRDefault="005F3A5E" w:rsidP="00880478">
      <w:pPr>
        <w:tabs>
          <w:tab w:val="left" w:pos="851"/>
          <w:tab w:val="left" w:pos="1418"/>
        </w:tabs>
        <w:rPr>
          <w:b/>
          <w:bCs/>
          <w:color w:val="000000"/>
        </w:rPr>
      </w:pPr>
    </w:p>
    <w:p w:rsidR="003A0B52" w:rsidRDefault="003A0B52">
      <w:pPr>
        <w:jc w:val="left"/>
        <w:rPr>
          <w:b/>
          <w:bCs/>
          <w:color w:val="000000"/>
          <w:sz w:val="22"/>
        </w:rPr>
      </w:pPr>
      <w:r>
        <w:rPr>
          <w:b/>
          <w:bCs/>
          <w:color w:val="000000"/>
          <w:sz w:val="22"/>
        </w:rPr>
        <w:br w:type="page"/>
      </w:r>
    </w:p>
    <w:p w:rsidR="003A0B52" w:rsidRDefault="003A0B52" w:rsidP="00226D5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p>
    <w:p w:rsidR="00226D5E" w:rsidRDefault="003A0B52" w:rsidP="00226D5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r>
        <w:rPr>
          <w:b/>
          <w:bCs/>
          <w:color w:val="000000"/>
          <w:sz w:val="22"/>
        </w:rPr>
        <w:t>DOSSIER 3</w:t>
      </w:r>
    </w:p>
    <w:p w:rsidR="003A0B52" w:rsidRPr="00955F2E" w:rsidRDefault="003A0B52" w:rsidP="00226D5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color w:val="000000"/>
          <w:sz w:val="22"/>
        </w:rPr>
      </w:pPr>
    </w:p>
    <w:p w:rsidR="00732CB2" w:rsidRDefault="00732CB2" w:rsidP="001B61C3"/>
    <w:p w:rsidR="009C4458" w:rsidRDefault="009C4458" w:rsidP="009C4458">
      <w:pPr>
        <w:pStyle w:val="Paragraphedeliste"/>
        <w:numPr>
          <w:ilvl w:val="0"/>
          <w:numId w:val="5"/>
        </w:numPr>
        <w:spacing w:before="0"/>
        <w:jc w:val="both"/>
        <w:rPr>
          <w:rFonts w:ascii="Times New Roman" w:hAnsi="Times New Roman"/>
          <w:b/>
        </w:rPr>
      </w:pPr>
      <w:r>
        <w:rPr>
          <w:rFonts w:ascii="Times New Roman" w:hAnsi="Times New Roman"/>
          <w:b/>
        </w:rPr>
        <w:t xml:space="preserve">Calculer </w:t>
      </w:r>
      <w:r w:rsidRPr="00DA0FC7">
        <w:rPr>
          <w:rFonts w:ascii="Times New Roman" w:hAnsi="Times New Roman"/>
          <w:b/>
        </w:rPr>
        <w:t>le</w:t>
      </w:r>
      <w:r>
        <w:rPr>
          <w:rFonts w:ascii="Times New Roman" w:hAnsi="Times New Roman"/>
          <w:b/>
        </w:rPr>
        <w:t>s</w:t>
      </w:r>
      <w:r w:rsidRPr="00DA0FC7">
        <w:rPr>
          <w:rFonts w:ascii="Times New Roman" w:hAnsi="Times New Roman"/>
          <w:b/>
        </w:rPr>
        <w:t xml:space="preserve"> montant</w:t>
      </w:r>
      <w:r>
        <w:rPr>
          <w:rFonts w:ascii="Times New Roman" w:hAnsi="Times New Roman"/>
          <w:b/>
        </w:rPr>
        <w:t>s</w:t>
      </w:r>
      <w:r w:rsidRPr="00DA0FC7">
        <w:rPr>
          <w:rFonts w:ascii="Times New Roman" w:hAnsi="Times New Roman"/>
          <w:b/>
        </w:rPr>
        <w:t xml:space="preserve"> net</w:t>
      </w:r>
      <w:r>
        <w:rPr>
          <w:rFonts w:ascii="Times New Roman" w:hAnsi="Times New Roman"/>
          <w:b/>
        </w:rPr>
        <w:t>s</w:t>
      </w:r>
      <w:r w:rsidRPr="00DA0FC7">
        <w:rPr>
          <w:rFonts w:ascii="Times New Roman" w:hAnsi="Times New Roman"/>
          <w:b/>
        </w:rPr>
        <w:t xml:space="preserve"> imposable</w:t>
      </w:r>
      <w:r>
        <w:rPr>
          <w:rFonts w:ascii="Times New Roman" w:hAnsi="Times New Roman"/>
          <w:b/>
        </w:rPr>
        <w:t>s</w:t>
      </w:r>
      <w:r w:rsidRPr="00DA0FC7">
        <w:rPr>
          <w:rFonts w:ascii="Times New Roman" w:hAnsi="Times New Roman"/>
          <w:b/>
        </w:rPr>
        <w:t xml:space="preserve"> </w:t>
      </w:r>
      <w:r>
        <w:rPr>
          <w:rFonts w:ascii="Times New Roman" w:hAnsi="Times New Roman"/>
          <w:b/>
        </w:rPr>
        <w:t>catégoriels du foyer fiscal MELIA</w:t>
      </w:r>
      <w:r w:rsidRPr="00DA0FC7">
        <w:rPr>
          <w:rFonts w:ascii="Times New Roman" w:hAnsi="Times New Roman"/>
          <w:b/>
        </w:rPr>
        <w:t>, en retenant la modalité fiscale la plus favorable pour la rémunération de Monsieur MELIA.</w:t>
      </w:r>
      <w:r w:rsidR="00C51DAC">
        <w:rPr>
          <w:rFonts w:ascii="Times New Roman" w:hAnsi="Times New Roman"/>
          <w:b/>
        </w:rPr>
        <w:t xml:space="preserve"> </w:t>
      </w:r>
    </w:p>
    <w:p w:rsidR="00FC367A" w:rsidRDefault="00FC367A" w:rsidP="001B61C3">
      <w:pPr>
        <w:rPr>
          <w:b/>
          <w:sz w:val="22"/>
        </w:rPr>
      </w:pPr>
    </w:p>
    <w:p w:rsidR="000521AC" w:rsidRPr="00F97346" w:rsidRDefault="00E774FE" w:rsidP="009C4458">
      <w:pPr>
        <w:pStyle w:val="Paragraphedeliste"/>
        <w:numPr>
          <w:ilvl w:val="0"/>
          <w:numId w:val="1"/>
        </w:numPr>
        <w:spacing w:before="0"/>
        <w:ind w:left="425" w:hanging="425"/>
        <w:rPr>
          <w:rFonts w:ascii="Times New Roman" w:hAnsi="Times New Roman"/>
          <w:b/>
        </w:rPr>
      </w:pPr>
      <w:r w:rsidRPr="00F97346">
        <w:rPr>
          <w:rFonts w:ascii="Times New Roman" w:hAnsi="Times New Roman"/>
          <w:b/>
        </w:rPr>
        <w:t>Tr</w:t>
      </w:r>
      <w:r w:rsidR="000521AC" w:rsidRPr="00F97346">
        <w:rPr>
          <w:rFonts w:ascii="Times New Roman" w:hAnsi="Times New Roman"/>
          <w:b/>
        </w:rPr>
        <w:t>aitements et salaires</w:t>
      </w:r>
      <w:r w:rsidR="000521AC" w:rsidRPr="00F97346">
        <w:rPr>
          <w:rFonts w:ascii="Times New Roman" w:hAnsi="Times New Roman"/>
          <w:b/>
          <w:i/>
        </w:rPr>
        <w:t xml:space="preserve"> : </w:t>
      </w:r>
    </w:p>
    <w:p w:rsidR="000521AC" w:rsidRPr="00F97346" w:rsidRDefault="000521AC" w:rsidP="000521AC">
      <w:pPr>
        <w:pStyle w:val="Paragraphedeliste"/>
        <w:ind w:left="426"/>
        <w:rPr>
          <w:rFonts w:ascii="Times New Roman" w:hAnsi="Times New Roman"/>
          <w:color w:val="FF0000"/>
        </w:rPr>
      </w:pPr>
      <w:r w:rsidRPr="00F97346">
        <w:rPr>
          <w:rFonts w:ascii="Times New Roman" w:hAnsi="Times New Roman"/>
          <w:b/>
        </w:rPr>
        <w:tab/>
      </w:r>
      <w:r w:rsidRPr="00F97346">
        <w:rPr>
          <w:rFonts w:ascii="Times New Roman" w:hAnsi="Times New Roman"/>
          <w:b/>
        </w:rPr>
        <w:tab/>
      </w:r>
      <w:r w:rsidRPr="00F97346">
        <w:rPr>
          <w:rFonts w:ascii="Times New Roman" w:hAnsi="Times New Roman"/>
        </w:rPr>
        <w:t xml:space="preserve">Montant à  déclarer = </w:t>
      </w:r>
      <w:r w:rsidR="009C4458" w:rsidRPr="00F97346">
        <w:rPr>
          <w:rFonts w:ascii="Times New Roman" w:hAnsi="Times New Roman"/>
        </w:rPr>
        <w:tab/>
      </w:r>
      <w:r w:rsidR="009C4458" w:rsidRPr="00F97346">
        <w:rPr>
          <w:rFonts w:ascii="Times New Roman" w:hAnsi="Times New Roman"/>
        </w:rPr>
        <w:tab/>
      </w:r>
      <w:r w:rsidR="009C4458"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t xml:space="preserve">   70 400 € </w:t>
      </w:r>
    </w:p>
    <w:p w:rsidR="005E0188" w:rsidRPr="00F97346" w:rsidRDefault="000521AC" w:rsidP="000521AC">
      <w:pPr>
        <w:pStyle w:val="Paragraphedeliste"/>
        <w:ind w:left="426"/>
        <w:rPr>
          <w:rFonts w:ascii="Times New Roman" w:hAnsi="Times New Roman"/>
        </w:rPr>
      </w:pPr>
      <w:r w:rsidRPr="00F97346">
        <w:rPr>
          <w:rFonts w:ascii="Times New Roman" w:hAnsi="Times New Roman"/>
          <w:color w:val="FF0000"/>
        </w:rPr>
        <w:tab/>
      </w:r>
      <w:r w:rsidRPr="00F97346">
        <w:rPr>
          <w:rFonts w:ascii="Times New Roman" w:hAnsi="Times New Roman"/>
          <w:color w:val="FF0000"/>
        </w:rPr>
        <w:tab/>
      </w:r>
      <w:r w:rsidRPr="00F97346">
        <w:rPr>
          <w:rFonts w:ascii="Times New Roman" w:hAnsi="Times New Roman"/>
        </w:rPr>
        <w:t>Frais professionnels : déduction forfaitaire de 10 % ou option pour</w:t>
      </w:r>
    </w:p>
    <w:p w:rsidR="000521AC" w:rsidRPr="00F97346" w:rsidRDefault="005E0188" w:rsidP="000521AC">
      <w:pPr>
        <w:pStyle w:val="Paragraphedeliste"/>
        <w:ind w:left="426"/>
        <w:rPr>
          <w:rFonts w:ascii="Times New Roman" w:hAnsi="Times New Roman"/>
        </w:rPr>
      </w:pPr>
      <w:r w:rsidRPr="00F97346">
        <w:rPr>
          <w:rFonts w:ascii="Times New Roman" w:hAnsi="Times New Roman"/>
        </w:rPr>
        <w:tab/>
      </w:r>
      <w:r w:rsidRPr="00F97346">
        <w:rPr>
          <w:rFonts w:ascii="Times New Roman" w:hAnsi="Times New Roman"/>
        </w:rPr>
        <w:tab/>
      </w:r>
      <w:r w:rsidR="000521AC" w:rsidRPr="00F97346">
        <w:rPr>
          <w:rFonts w:ascii="Times New Roman" w:hAnsi="Times New Roman"/>
        </w:rPr>
        <w:t xml:space="preserve"> </w:t>
      </w:r>
      <w:proofErr w:type="gramStart"/>
      <w:r w:rsidR="000521AC" w:rsidRPr="00F97346">
        <w:rPr>
          <w:rFonts w:ascii="Times New Roman" w:hAnsi="Times New Roman"/>
        </w:rPr>
        <w:t>les</w:t>
      </w:r>
      <w:proofErr w:type="gramEnd"/>
      <w:r w:rsidR="000521AC" w:rsidRPr="00F97346">
        <w:rPr>
          <w:rFonts w:ascii="Times New Roman" w:hAnsi="Times New Roman"/>
        </w:rPr>
        <w:t xml:space="preserve"> frais réels. L’option pour les fr</w:t>
      </w:r>
      <w:r w:rsidRPr="00F97346">
        <w:rPr>
          <w:rFonts w:ascii="Times New Roman" w:hAnsi="Times New Roman"/>
        </w:rPr>
        <w:t>ais réels  est plus avantageuse.</w:t>
      </w:r>
      <w:r w:rsidR="000521AC" w:rsidRPr="00F97346">
        <w:rPr>
          <w:rFonts w:ascii="Times New Roman" w:hAnsi="Times New Roman"/>
        </w:rPr>
        <w:tab/>
      </w:r>
      <w:r w:rsidRPr="00F97346">
        <w:rPr>
          <w:rFonts w:ascii="Times New Roman" w:hAnsi="Times New Roman"/>
        </w:rPr>
        <w:tab/>
      </w:r>
      <w:r w:rsidR="000521AC" w:rsidRPr="00F97346">
        <w:rPr>
          <w:rFonts w:ascii="Times New Roman" w:hAnsi="Times New Roman"/>
        </w:rPr>
        <w:t xml:space="preserve">(-) 9 000 € </w:t>
      </w:r>
    </w:p>
    <w:p w:rsidR="000521AC" w:rsidRPr="00F97346" w:rsidRDefault="000521AC" w:rsidP="000521AC">
      <w:pPr>
        <w:pStyle w:val="Paragraphedeliste"/>
        <w:ind w:left="426"/>
        <w:rPr>
          <w:rFonts w:ascii="Times New Roman" w:hAnsi="Times New Roman"/>
        </w:rPr>
      </w:pPr>
      <w:r w:rsidRPr="00F97346">
        <w:rPr>
          <w:rFonts w:ascii="Times New Roman" w:hAnsi="Times New Roman"/>
        </w:rPr>
        <w:tab/>
      </w:r>
      <w:r w:rsidRPr="00F97346">
        <w:rPr>
          <w:rFonts w:ascii="Times New Roman" w:hAnsi="Times New Roman"/>
        </w:rPr>
        <w:tab/>
        <w:t>Déduction de 9 000 € contre 7 040 €</w:t>
      </w:r>
    </w:p>
    <w:p w:rsidR="00C51FA9" w:rsidRPr="00F97346" w:rsidRDefault="000521AC" w:rsidP="000521AC">
      <w:pPr>
        <w:pStyle w:val="Paragraphedeliste"/>
        <w:ind w:left="426"/>
        <w:rPr>
          <w:rFonts w:ascii="Times New Roman" w:hAnsi="Times New Roman"/>
          <w:b/>
          <w:color w:val="FF0000"/>
        </w:rPr>
      </w:pP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b/>
        </w:rPr>
        <w:t>Net imposable</w:t>
      </w:r>
      <w:r w:rsidRPr="00F97346">
        <w:rPr>
          <w:rFonts w:ascii="Times New Roman" w:hAnsi="Times New Roman"/>
          <w:b/>
        </w:rPr>
        <w:tab/>
      </w:r>
      <w:r w:rsidRPr="00F97346">
        <w:rPr>
          <w:rFonts w:ascii="Times New Roman" w:hAnsi="Times New Roman"/>
          <w:b/>
        </w:rPr>
        <w:tab/>
        <w:t xml:space="preserve">    61 400 €</w:t>
      </w:r>
    </w:p>
    <w:p w:rsidR="000521AC" w:rsidRPr="00F97346" w:rsidRDefault="000521AC" w:rsidP="009C4458">
      <w:pPr>
        <w:pStyle w:val="Paragraphedeliste"/>
        <w:numPr>
          <w:ilvl w:val="0"/>
          <w:numId w:val="1"/>
        </w:numPr>
        <w:ind w:left="426" w:hanging="426"/>
        <w:rPr>
          <w:rFonts w:ascii="Times New Roman" w:hAnsi="Times New Roman"/>
          <w:b/>
        </w:rPr>
      </w:pPr>
      <w:r w:rsidRPr="00F97346">
        <w:rPr>
          <w:rFonts w:ascii="Times New Roman" w:hAnsi="Times New Roman"/>
          <w:b/>
        </w:rPr>
        <w:t>Bénéfices industriels et commerciaux :</w:t>
      </w:r>
      <w:r w:rsidRPr="00F97346">
        <w:rPr>
          <w:rFonts w:ascii="Times New Roman" w:hAnsi="Times New Roman"/>
        </w:rPr>
        <w:t xml:space="preserve"> </w:t>
      </w:r>
    </w:p>
    <w:p w:rsidR="00C51FA9" w:rsidRPr="00F97346" w:rsidRDefault="00C51FA9" w:rsidP="00C51FA9">
      <w:pPr>
        <w:pStyle w:val="Paragraphedeliste"/>
        <w:ind w:left="426"/>
        <w:rPr>
          <w:rFonts w:ascii="Times New Roman" w:hAnsi="Times New Roman"/>
        </w:rPr>
      </w:pPr>
      <w:r w:rsidRPr="00F97346">
        <w:rPr>
          <w:rFonts w:ascii="Times New Roman" w:hAnsi="Times New Roman"/>
          <w:b/>
        </w:rPr>
        <w:tab/>
      </w:r>
      <w:r w:rsidRPr="00F97346">
        <w:rPr>
          <w:rFonts w:ascii="Times New Roman" w:hAnsi="Times New Roman"/>
          <w:b/>
        </w:rPr>
        <w:tab/>
      </w:r>
      <w:r w:rsidRPr="00F97346">
        <w:rPr>
          <w:rFonts w:ascii="Times New Roman" w:hAnsi="Times New Roman"/>
        </w:rPr>
        <w:t>Résultat fiscal = bénéfice comptable + charges non déductibles + MVNLT</w:t>
      </w:r>
    </w:p>
    <w:p w:rsidR="00C51FA9" w:rsidRPr="00F97346" w:rsidRDefault="00C51FA9" w:rsidP="00C51FA9">
      <w:pPr>
        <w:pStyle w:val="Paragraphedeliste"/>
        <w:ind w:left="426"/>
        <w:rPr>
          <w:rFonts w:ascii="Times New Roman" w:hAnsi="Times New Roman"/>
          <w:color w:val="FF0000"/>
        </w:rPr>
      </w:pPr>
      <w:r w:rsidRPr="00F97346">
        <w:rPr>
          <w:rFonts w:ascii="Times New Roman" w:hAnsi="Times New Roman"/>
        </w:rPr>
        <w:tab/>
      </w:r>
      <w:r w:rsidRPr="00F97346">
        <w:rPr>
          <w:rFonts w:ascii="Times New Roman" w:hAnsi="Times New Roman"/>
        </w:rPr>
        <w:tab/>
        <w:t xml:space="preserve">Résultat fiscal = 25 909 + 23 520 + 3 000 = </w:t>
      </w:r>
      <w:r w:rsidRPr="00F97346">
        <w:rPr>
          <w:rFonts w:ascii="Times New Roman" w:hAnsi="Times New Roman"/>
        </w:rPr>
        <w:tab/>
      </w:r>
      <w:r w:rsidRPr="00F97346">
        <w:rPr>
          <w:rFonts w:ascii="Times New Roman" w:hAnsi="Times New Roman"/>
        </w:rPr>
        <w:tab/>
      </w:r>
      <w:r w:rsidR="00404C46" w:rsidRPr="00F97346">
        <w:rPr>
          <w:rFonts w:ascii="Times New Roman" w:hAnsi="Times New Roman"/>
        </w:rPr>
        <w:tab/>
      </w:r>
      <w:r w:rsidR="00404C46" w:rsidRPr="00F97346">
        <w:rPr>
          <w:rFonts w:ascii="Times New Roman" w:hAnsi="Times New Roman"/>
        </w:rPr>
        <w:tab/>
      </w:r>
      <w:r w:rsidR="00404C46" w:rsidRPr="00F97346">
        <w:rPr>
          <w:rFonts w:ascii="Times New Roman" w:hAnsi="Times New Roman"/>
        </w:rPr>
        <w:tab/>
        <w:t xml:space="preserve">    </w:t>
      </w:r>
      <w:r w:rsidR="00404C46" w:rsidRPr="00F97346">
        <w:rPr>
          <w:rFonts w:ascii="Times New Roman" w:hAnsi="Times New Roman"/>
          <w:b/>
        </w:rPr>
        <w:t>52 429 €</w:t>
      </w:r>
    </w:p>
    <w:p w:rsidR="00732CB2" w:rsidRPr="00F97346" w:rsidRDefault="00732CB2" w:rsidP="00C51FA9">
      <w:pPr>
        <w:pStyle w:val="Paragraphedeliste"/>
        <w:ind w:left="426"/>
        <w:rPr>
          <w:rFonts w:ascii="Times New Roman" w:hAnsi="Times New Roman"/>
          <w:color w:val="FF0000"/>
        </w:rPr>
      </w:pPr>
    </w:p>
    <w:p w:rsidR="000521AC" w:rsidRPr="00F97346" w:rsidRDefault="000521AC" w:rsidP="009C4458">
      <w:pPr>
        <w:pStyle w:val="Paragraphedeliste"/>
        <w:numPr>
          <w:ilvl w:val="0"/>
          <w:numId w:val="1"/>
        </w:numPr>
        <w:ind w:left="426" w:hanging="426"/>
        <w:rPr>
          <w:rFonts w:ascii="Times New Roman" w:hAnsi="Times New Roman"/>
        </w:rPr>
      </w:pPr>
      <w:r w:rsidRPr="00F97346">
        <w:rPr>
          <w:rFonts w:ascii="Times New Roman" w:hAnsi="Times New Roman"/>
          <w:b/>
        </w:rPr>
        <w:t>Revenus des capitaux mobiliers :</w:t>
      </w:r>
      <w:r w:rsidRPr="00F97346">
        <w:rPr>
          <w:rFonts w:ascii="Times New Roman" w:hAnsi="Times New Roman"/>
        </w:rPr>
        <w:t xml:space="preserve"> </w:t>
      </w:r>
    </w:p>
    <w:p w:rsidR="00D20447" w:rsidRPr="00F97346" w:rsidRDefault="00D20447" w:rsidP="00D20447">
      <w:pPr>
        <w:pStyle w:val="Paragraphedeliste"/>
        <w:ind w:left="426" w:right="-59"/>
        <w:rPr>
          <w:rFonts w:ascii="Times New Roman" w:hAnsi="Times New Roman"/>
        </w:rPr>
      </w:pPr>
      <w:r w:rsidRPr="00F97346">
        <w:rPr>
          <w:rFonts w:ascii="Times New Roman" w:hAnsi="Times New Roman"/>
          <w:b/>
        </w:rPr>
        <w:tab/>
      </w:r>
      <w:r w:rsidRPr="00F97346">
        <w:rPr>
          <w:rFonts w:ascii="Times New Roman" w:hAnsi="Times New Roman"/>
          <w:b/>
        </w:rPr>
        <w:tab/>
      </w:r>
      <w:r w:rsidRPr="00F97346">
        <w:rPr>
          <w:rFonts w:ascii="Times New Roman" w:hAnsi="Times New Roman"/>
        </w:rPr>
        <w:t xml:space="preserve">Dividendes à déclarer </w:t>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t xml:space="preserve">      6 400       </w:t>
      </w:r>
    </w:p>
    <w:p w:rsidR="00D20447" w:rsidRPr="00F97346" w:rsidRDefault="00D20447" w:rsidP="00D20447">
      <w:pPr>
        <w:pStyle w:val="Paragraphedeliste"/>
        <w:ind w:left="426" w:right="-59"/>
        <w:rPr>
          <w:rFonts w:ascii="Times New Roman" w:hAnsi="Times New Roman"/>
        </w:rPr>
      </w:pPr>
      <w:r w:rsidRPr="00F97346">
        <w:rPr>
          <w:rFonts w:ascii="Times New Roman" w:hAnsi="Times New Roman"/>
        </w:rPr>
        <w:tab/>
      </w:r>
      <w:r w:rsidRPr="00F97346">
        <w:rPr>
          <w:rFonts w:ascii="Times New Roman" w:hAnsi="Times New Roman"/>
        </w:rPr>
        <w:tab/>
        <w:t>(-) abattement de 40 %</w:t>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003A0B52">
        <w:rPr>
          <w:rFonts w:ascii="Times New Roman" w:hAnsi="Times New Roman"/>
        </w:rPr>
        <w:tab/>
      </w:r>
      <w:r w:rsidRPr="00F97346">
        <w:rPr>
          <w:rFonts w:ascii="Times New Roman" w:hAnsi="Times New Roman"/>
          <w:u w:val="single"/>
        </w:rPr>
        <w:t xml:space="preserve">(-)  2 560 </w:t>
      </w:r>
      <w:r w:rsidRPr="00F97346">
        <w:rPr>
          <w:rFonts w:ascii="Times New Roman" w:hAnsi="Times New Roman"/>
        </w:rPr>
        <w:t xml:space="preserve">      </w:t>
      </w:r>
    </w:p>
    <w:p w:rsidR="00D20447" w:rsidRPr="00F97346" w:rsidRDefault="00D20447" w:rsidP="00D20447">
      <w:pPr>
        <w:pStyle w:val="Paragraphedeliste"/>
        <w:ind w:left="426" w:right="-59"/>
        <w:rPr>
          <w:rFonts w:ascii="Times New Roman" w:hAnsi="Times New Roman"/>
        </w:rPr>
      </w:pPr>
      <w:r w:rsidRPr="00F97346">
        <w:rPr>
          <w:rFonts w:ascii="Times New Roman" w:hAnsi="Times New Roman"/>
        </w:rPr>
        <w:tab/>
      </w:r>
      <w:r w:rsidRPr="00F97346">
        <w:rPr>
          <w:rFonts w:ascii="Times New Roman" w:hAnsi="Times New Roman"/>
        </w:rPr>
        <w:tab/>
        <w:t xml:space="preserve">Dividendes nets imposables </w:t>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t xml:space="preserve">      3 840</w:t>
      </w:r>
    </w:p>
    <w:p w:rsidR="00D20447" w:rsidRPr="00F97346" w:rsidRDefault="00D20447" w:rsidP="00D20447">
      <w:pPr>
        <w:pStyle w:val="Paragraphedeliste"/>
        <w:ind w:left="426" w:right="-59"/>
        <w:rPr>
          <w:rFonts w:ascii="Times New Roman" w:hAnsi="Times New Roman"/>
        </w:rPr>
      </w:pPr>
      <w:r w:rsidRPr="00F97346">
        <w:rPr>
          <w:rFonts w:ascii="Times New Roman" w:hAnsi="Times New Roman"/>
        </w:rPr>
        <w:tab/>
      </w:r>
      <w:r w:rsidRPr="00F97346">
        <w:rPr>
          <w:rFonts w:ascii="Times New Roman" w:hAnsi="Times New Roman"/>
        </w:rPr>
        <w:tab/>
        <w:t xml:space="preserve">Intérêts d’obligations </w:t>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r>
      <w:r w:rsidRPr="00F97346">
        <w:rPr>
          <w:rFonts w:ascii="Times New Roman" w:hAnsi="Times New Roman"/>
        </w:rPr>
        <w:tab/>
        <w:t xml:space="preserve">      </w:t>
      </w:r>
      <w:r w:rsidRPr="00F97346">
        <w:rPr>
          <w:rFonts w:ascii="Times New Roman" w:hAnsi="Times New Roman"/>
          <w:u w:val="single"/>
        </w:rPr>
        <w:t xml:space="preserve">2 800 </w:t>
      </w:r>
      <w:r w:rsidRPr="00F97346">
        <w:rPr>
          <w:rFonts w:ascii="Times New Roman" w:hAnsi="Times New Roman"/>
        </w:rPr>
        <w:t xml:space="preserve">      </w:t>
      </w:r>
    </w:p>
    <w:p w:rsidR="00D20447" w:rsidRPr="00F97346" w:rsidRDefault="00D20447" w:rsidP="00D20447">
      <w:pPr>
        <w:pStyle w:val="Paragraphedeliste"/>
        <w:ind w:left="426" w:right="-59"/>
        <w:rPr>
          <w:rFonts w:ascii="Times New Roman" w:hAnsi="Times New Roman"/>
        </w:rPr>
      </w:pPr>
      <w:r w:rsidRPr="00F97346">
        <w:rPr>
          <w:rFonts w:ascii="Times New Roman" w:hAnsi="Times New Roman"/>
        </w:rPr>
        <w:tab/>
      </w:r>
      <w:r w:rsidRPr="00F97346">
        <w:rPr>
          <w:rFonts w:ascii="Times New Roman" w:hAnsi="Times New Roman"/>
        </w:rPr>
        <w:tab/>
      </w:r>
      <w:r w:rsidR="008C7795" w:rsidRPr="00F97346">
        <w:rPr>
          <w:rFonts w:ascii="Times New Roman" w:hAnsi="Times New Roman"/>
          <w:b/>
        </w:rPr>
        <w:t xml:space="preserve">RCM </w:t>
      </w:r>
      <w:r w:rsidRPr="00F97346">
        <w:rPr>
          <w:rFonts w:ascii="Times New Roman" w:hAnsi="Times New Roman"/>
          <w:b/>
        </w:rPr>
        <w:t>nets imposables</w:t>
      </w:r>
      <w:r w:rsidRPr="00F97346">
        <w:rPr>
          <w:rFonts w:ascii="Times New Roman" w:hAnsi="Times New Roman"/>
          <w:b/>
        </w:rPr>
        <w:tab/>
      </w:r>
      <w:r w:rsidRPr="00F97346">
        <w:rPr>
          <w:rFonts w:ascii="Times New Roman" w:hAnsi="Times New Roman"/>
          <w:b/>
        </w:rPr>
        <w:tab/>
      </w:r>
      <w:r w:rsidRPr="00F97346">
        <w:rPr>
          <w:rFonts w:ascii="Times New Roman" w:hAnsi="Times New Roman"/>
          <w:b/>
        </w:rPr>
        <w:tab/>
      </w:r>
      <w:r w:rsidRPr="00F97346">
        <w:rPr>
          <w:rFonts w:ascii="Times New Roman" w:hAnsi="Times New Roman"/>
          <w:b/>
        </w:rPr>
        <w:tab/>
      </w:r>
      <w:r w:rsidRPr="00F97346">
        <w:rPr>
          <w:rFonts w:ascii="Times New Roman" w:hAnsi="Times New Roman"/>
          <w:b/>
        </w:rPr>
        <w:tab/>
        <w:t xml:space="preserve">      6 640 €    </w:t>
      </w:r>
    </w:p>
    <w:p w:rsidR="00D20447" w:rsidRPr="00F97346" w:rsidRDefault="00D20447" w:rsidP="00D20447">
      <w:pPr>
        <w:pStyle w:val="Paragraphedeliste"/>
        <w:ind w:left="426" w:right="-59"/>
        <w:rPr>
          <w:rFonts w:ascii="Times New Roman" w:hAnsi="Times New Roman"/>
        </w:rPr>
      </w:pPr>
      <w:r w:rsidRPr="00F97346">
        <w:rPr>
          <w:rFonts w:ascii="Times New Roman" w:hAnsi="Times New Roman"/>
        </w:rPr>
        <w:t xml:space="preserve">Les intérêts des livrets A ne sont pas imposables. </w:t>
      </w:r>
    </w:p>
    <w:p w:rsidR="009C4458" w:rsidRDefault="009C4458" w:rsidP="00D20447">
      <w:pPr>
        <w:pStyle w:val="Paragraphedeliste"/>
        <w:ind w:left="426" w:right="-59"/>
      </w:pPr>
    </w:p>
    <w:p w:rsidR="00726749" w:rsidRDefault="00726749" w:rsidP="00726749">
      <w:pPr>
        <w:pStyle w:val="Paragraphedeliste"/>
        <w:numPr>
          <w:ilvl w:val="0"/>
          <w:numId w:val="5"/>
        </w:numPr>
        <w:spacing w:before="0"/>
        <w:jc w:val="both"/>
        <w:rPr>
          <w:rFonts w:ascii="Times New Roman" w:hAnsi="Times New Roman"/>
          <w:b/>
        </w:rPr>
      </w:pPr>
      <w:r>
        <w:rPr>
          <w:rFonts w:ascii="Times New Roman" w:hAnsi="Times New Roman"/>
          <w:b/>
        </w:rPr>
        <w:t>Calculer le montant des prélèvements fiscaux relatifs aux revenus du patrimoine financier et indiquer leur conséquence sur le calcul de l’impôt.</w:t>
      </w:r>
    </w:p>
    <w:p w:rsidR="009C4458" w:rsidRPr="00F97346" w:rsidRDefault="009C4458" w:rsidP="00D20447">
      <w:pPr>
        <w:pStyle w:val="Paragraphedeliste"/>
        <w:ind w:left="426" w:right="-59"/>
        <w:rPr>
          <w:rFonts w:ascii="Times New Roman" w:hAnsi="Times New Roman"/>
        </w:rPr>
      </w:pPr>
    </w:p>
    <w:p w:rsidR="009C4458" w:rsidRPr="00F97346" w:rsidRDefault="009C4458" w:rsidP="009C4458">
      <w:pPr>
        <w:rPr>
          <w:sz w:val="22"/>
        </w:rPr>
      </w:pPr>
      <w:r w:rsidRPr="00F97346">
        <w:rPr>
          <w:sz w:val="22"/>
        </w:rPr>
        <w:t>Le prélèvement forfaitaire à la source s’applique aux revenus des capitaux mobiliers imposables aux taux de    21 % pour les dividendes et de 24 % pour les intérêts des obligations.</w:t>
      </w:r>
    </w:p>
    <w:p w:rsidR="00F97346" w:rsidRPr="00F97346" w:rsidRDefault="00F97346" w:rsidP="00F97346">
      <w:pPr>
        <w:rPr>
          <w:sz w:val="22"/>
        </w:rPr>
      </w:pPr>
      <w:r w:rsidRPr="00F97346">
        <w:rPr>
          <w:sz w:val="22"/>
        </w:rPr>
        <w:t xml:space="preserve">Les intérêts des livrets A ne sont pas imposables. </w:t>
      </w:r>
    </w:p>
    <w:p w:rsidR="009C4458" w:rsidRPr="00F97346" w:rsidRDefault="009C4458" w:rsidP="009C4458">
      <w:pPr>
        <w:rPr>
          <w:b/>
          <w:sz w:val="22"/>
        </w:rPr>
      </w:pPr>
    </w:p>
    <w:p w:rsidR="009C4458" w:rsidRPr="00F97346" w:rsidRDefault="009C4458" w:rsidP="009C4458">
      <w:pPr>
        <w:rPr>
          <w:sz w:val="22"/>
        </w:rPr>
      </w:pPr>
      <w:r w:rsidRPr="00F97346">
        <w:rPr>
          <w:sz w:val="22"/>
        </w:rPr>
        <w:t>Prélèvement forfaitaire = (6 400 x 21 %) + (2 800 x 24 %) = 2 016 €</w:t>
      </w:r>
    </w:p>
    <w:p w:rsidR="009C4458" w:rsidRPr="00F97346" w:rsidRDefault="009C4458" w:rsidP="009C4458">
      <w:pPr>
        <w:rPr>
          <w:sz w:val="22"/>
        </w:rPr>
      </w:pPr>
    </w:p>
    <w:p w:rsidR="009C4458" w:rsidRPr="00F97346" w:rsidRDefault="009C4458" w:rsidP="009C4458">
      <w:pPr>
        <w:rPr>
          <w:color w:val="FF0000"/>
          <w:sz w:val="22"/>
        </w:rPr>
      </w:pPr>
      <w:r w:rsidRPr="00F97346">
        <w:rPr>
          <w:sz w:val="22"/>
        </w:rPr>
        <w:t>Ces prélèvements constituent des crédits d’impôts (acomptes) qui viennent en déduction de l’impôt brut.</w:t>
      </w:r>
    </w:p>
    <w:p w:rsidR="009C4458" w:rsidRPr="00F97346" w:rsidRDefault="009C4458" w:rsidP="009C4458">
      <w:pPr>
        <w:rPr>
          <w:b/>
          <w:sz w:val="22"/>
        </w:rPr>
      </w:pPr>
    </w:p>
    <w:p w:rsidR="009C4458" w:rsidRPr="00F97346" w:rsidRDefault="009C4458" w:rsidP="009C4458">
      <w:pPr>
        <w:rPr>
          <w:b/>
          <w:sz w:val="22"/>
        </w:rPr>
      </w:pPr>
    </w:p>
    <w:p w:rsidR="00726749" w:rsidRDefault="00726749" w:rsidP="00726749">
      <w:pPr>
        <w:pStyle w:val="Paragraphedeliste"/>
        <w:numPr>
          <w:ilvl w:val="0"/>
          <w:numId w:val="5"/>
        </w:numPr>
        <w:spacing w:before="0"/>
        <w:jc w:val="both"/>
        <w:rPr>
          <w:rFonts w:ascii="Times New Roman" w:hAnsi="Times New Roman"/>
          <w:b/>
        </w:rPr>
      </w:pPr>
      <w:r w:rsidRPr="00DA0FC7">
        <w:rPr>
          <w:rFonts w:ascii="Times New Roman" w:hAnsi="Times New Roman"/>
          <w:b/>
        </w:rPr>
        <w:t xml:space="preserve">Calculer le montant des prélèvements sociaux relatifs </w:t>
      </w:r>
      <w:r>
        <w:rPr>
          <w:rFonts w:ascii="Times New Roman" w:hAnsi="Times New Roman"/>
          <w:b/>
        </w:rPr>
        <w:t>aux revenus du patrimoine financier de 2015 et préciser l’impact sur le revenu global.</w:t>
      </w:r>
    </w:p>
    <w:p w:rsidR="009C4458" w:rsidRPr="00F97346" w:rsidRDefault="009C4458" w:rsidP="009C4458">
      <w:pPr>
        <w:rPr>
          <w:b/>
          <w:color w:val="FF0000"/>
          <w:sz w:val="22"/>
        </w:rPr>
      </w:pPr>
    </w:p>
    <w:p w:rsidR="009C4458" w:rsidRPr="00F97346" w:rsidRDefault="009C4458" w:rsidP="009C4458">
      <w:pPr>
        <w:rPr>
          <w:sz w:val="22"/>
        </w:rPr>
      </w:pPr>
      <w:r w:rsidRPr="00F97346">
        <w:rPr>
          <w:sz w:val="22"/>
        </w:rPr>
        <w:t xml:space="preserve">Les prélèvements sociaux s’appliquent sur les dividendes et les intérêts des obligations. Les intérêts des livrets A sont exonérés de prélèvements sociaux </w:t>
      </w:r>
    </w:p>
    <w:p w:rsidR="009C4458" w:rsidRPr="00F97346" w:rsidRDefault="009C4458" w:rsidP="009C4458">
      <w:pPr>
        <w:rPr>
          <w:sz w:val="22"/>
        </w:rPr>
      </w:pPr>
    </w:p>
    <w:p w:rsidR="009C4458" w:rsidRPr="00F97346" w:rsidRDefault="009C4458" w:rsidP="009C4458">
      <w:pPr>
        <w:rPr>
          <w:color w:val="FF0000"/>
          <w:sz w:val="22"/>
        </w:rPr>
      </w:pPr>
      <w:r w:rsidRPr="00F97346">
        <w:rPr>
          <w:sz w:val="22"/>
        </w:rPr>
        <w:t>Prélèvements sociaux = (6 400 + 2 800) x 15,50 % = 1 426 €</w:t>
      </w:r>
      <w:r w:rsidRPr="00F97346">
        <w:rPr>
          <w:sz w:val="22"/>
        </w:rPr>
        <w:tab/>
      </w:r>
    </w:p>
    <w:p w:rsidR="009C4458" w:rsidRPr="00F97346" w:rsidRDefault="009C4458" w:rsidP="009C4458">
      <w:pPr>
        <w:rPr>
          <w:sz w:val="22"/>
        </w:rPr>
      </w:pPr>
    </w:p>
    <w:p w:rsidR="009C4458" w:rsidRPr="00F97346" w:rsidRDefault="00726749" w:rsidP="009C4458">
      <w:pPr>
        <w:rPr>
          <w:color w:val="FF0000"/>
          <w:sz w:val="22"/>
        </w:rPr>
      </w:pPr>
      <w:r>
        <w:rPr>
          <w:sz w:val="22"/>
        </w:rPr>
        <w:t xml:space="preserve">Parmi ces PS, seule la </w:t>
      </w:r>
      <w:r w:rsidR="009C4458" w:rsidRPr="00F97346">
        <w:rPr>
          <w:sz w:val="22"/>
        </w:rPr>
        <w:t xml:space="preserve">CSG </w:t>
      </w:r>
      <w:r>
        <w:rPr>
          <w:sz w:val="22"/>
        </w:rPr>
        <w:t>« </w:t>
      </w:r>
      <w:r w:rsidR="009C4458" w:rsidRPr="00F97346">
        <w:rPr>
          <w:sz w:val="22"/>
        </w:rPr>
        <w:t>déductible</w:t>
      </w:r>
      <w:r>
        <w:rPr>
          <w:sz w:val="22"/>
        </w:rPr>
        <w:t> » est déductible</w:t>
      </w:r>
      <w:r w:rsidR="009C4458" w:rsidRPr="00F97346">
        <w:rPr>
          <w:sz w:val="22"/>
        </w:rPr>
        <w:t xml:space="preserve"> du revenu brut global = (6 400 + 2 800) x 5,1 % = 469,20 € </w:t>
      </w:r>
    </w:p>
    <w:p w:rsidR="009C4458" w:rsidRPr="00F97346" w:rsidRDefault="009C4458" w:rsidP="009C4458">
      <w:pPr>
        <w:ind w:right="-59"/>
        <w:rPr>
          <w:sz w:val="22"/>
        </w:rPr>
      </w:pPr>
    </w:p>
    <w:p w:rsidR="009C4458" w:rsidRPr="00F97346" w:rsidRDefault="009C4458" w:rsidP="009C4458">
      <w:pPr>
        <w:ind w:right="-59"/>
        <w:rPr>
          <w:sz w:val="22"/>
        </w:rPr>
      </w:pPr>
    </w:p>
    <w:p w:rsidR="003A0B52" w:rsidRDefault="003A0B52">
      <w:pPr>
        <w:jc w:val="left"/>
        <w:rPr>
          <w:rFonts w:eastAsia="Calibri"/>
          <w:b/>
          <w:sz w:val="22"/>
          <w:lang w:eastAsia="en-US"/>
        </w:rPr>
      </w:pPr>
      <w:r>
        <w:rPr>
          <w:b/>
        </w:rPr>
        <w:br w:type="page"/>
      </w:r>
    </w:p>
    <w:p w:rsidR="00D20447" w:rsidRPr="00F97346" w:rsidRDefault="00D20447" w:rsidP="00726749">
      <w:pPr>
        <w:pStyle w:val="Paragraphedeliste"/>
        <w:numPr>
          <w:ilvl w:val="0"/>
          <w:numId w:val="5"/>
        </w:numPr>
        <w:spacing w:before="0"/>
        <w:jc w:val="both"/>
        <w:rPr>
          <w:rFonts w:ascii="Times New Roman" w:hAnsi="Times New Roman"/>
          <w:b/>
        </w:rPr>
      </w:pPr>
      <w:r w:rsidRPr="00F97346">
        <w:rPr>
          <w:rFonts w:ascii="Times New Roman" w:hAnsi="Times New Roman"/>
          <w:b/>
        </w:rPr>
        <w:lastRenderedPageBreak/>
        <w:t>Déterminer le nombre de parts dont bénéficie le foyer fiscal et calculer le quotient familial.</w:t>
      </w:r>
    </w:p>
    <w:p w:rsidR="00D20447" w:rsidRPr="00F97346" w:rsidRDefault="00D20447" w:rsidP="00D20447">
      <w:pPr>
        <w:rPr>
          <w:b/>
          <w:sz w:val="22"/>
        </w:rPr>
      </w:pPr>
    </w:p>
    <w:p w:rsidR="00D20447" w:rsidRPr="00F97346" w:rsidRDefault="00D20447" w:rsidP="00D20447">
      <w:pPr>
        <w:rPr>
          <w:color w:val="FF0000"/>
          <w:sz w:val="22"/>
        </w:rPr>
      </w:pPr>
      <w:r w:rsidRPr="00F97346">
        <w:rPr>
          <w:sz w:val="22"/>
        </w:rPr>
        <w:t>Nombre de part</w:t>
      </w:r>
      <w:r w:rsidR="00014392" w:rsidRPr="00F97346">
        <w:rPr>
          <w:sz w:val="22"/>
        </w:rPr>
        <w:t>s</w:t>
      </w:r>
      <w:r w:rsidRPr="00F97346">
        <w:rPr>
          <w:sz w:val="22"/>
        </w:rPr>
        <w:t xml:space="preserve"> = 1 + 1 + 0.5 + 0.5 = 3 parts </w:t>
      </w:r>
    </w:p>
    <w:p w:rsidR="00662E90" w:rsidRPr="00F97346" w:rsidRDefault="00662E90" w:rsidP="00D20447">
      <w:pPr>
        <w:rPr>
          <w:color w:val="FF0000"/>
          <w:sz w:val="22"/>
        </w:rPr>
      </w:pPr>
      <w:r w:rsidRPr="00F97346">
        <w:rPr>
          <w:sz w:val="22"/>
        </w:rPr>
        <w:t>Quotient familial = 120 000 / 3 = 40 000 €</w:t>
      </w:r>
    </w:p>
    <w:p w:rsidR="00D20447" w:rsidRPr="00F97346" w:rsidRDefault="00D20447" w:rsidP="00D20447">
      <w:pPr>
        <w:rPr>
          <w:b/>
          <w:sz w:val="22"/>
        </w:rPr>
      </w:pPr>
    </w:p>
    <w:p w:rsidR="00D20447" w:rsidRPr="00F97346" w:rsidRDefault="00D20447" w:rsidP="00726749">
      <w:pPr>
        <w:pStyle w:val="Paragraphedeliste"/>
        <w:numPr>
          <w:ilvl w:val="0"/>
          <w:numId w:val="5"/>
        </w:numPr>
        <w:spacing w:before="0"/>
        <w:jc w:val="both"/>
        <w:rPr>
          <w:rFonts w:ascii="Times New Roman" w:hAnsi="Times New Roman"/>
          <w:b/>
        </w:rPr>
      </w:pPr>
      <w:r w:rsidRPr="00F97346">
        <w:rPr>
          <w:rFonts w:ascii="Times New Roman" w:hAnsi="Times New Roman"/>
          <w:b/>
        </w:rPr>
        <w:t>Calculer l’impôt brut en tenant compte de l’éventuel pl</w:t>
      </w:r>
      <w:r w:rsidR="005E0188" w:rsidRPr="00F97346">
        <w:rPr>
          <w:rFonts w:ascii="Times New Roman" w:hAnsi="Times New Roman"/>
          <w:b/>
        </w:rPr>
        <w:t>afonnement du quotient familial.</w:t>
      </w:r>
    </w:p>
    <w:p w:rsidR="003C1006" w:rsidRPr="00F97346" w:rsidRDefault="003C1006" w:rsidP="00D20447">
      <w:pPr>
        <w:rPr>
          <w:b/>
          <w:color w:val="FF0000"/>
          <w:sz w:val="22"/>
        </w:rPr>
      </w:pPr>
    </w:p>
    <w:p w:rsidR="003C1006" w:rsidRPr="00F97346" w:rsidRDefault="00E5573F" w:rsidP="009C4458">
      <w:pPr>
        <w:pStyle w:val="Paragraphedeliste"/>
        <w:numPr>
          <w:ilvl w:val="0"/>
          <w:numId w:val="1"/>
        </w:numPr>
        <w:spacing w:before="0" w:line="240" w:lineRule="auto"/>
        <w:ind w:left="1037" w:hanging="357"/>
        <w:rPr>
          <w:rFonts w:ascii="Times New Roman" w:hAnsi="Times New Roman"/>
        </w:rPr>
      </w:pPr>
      <w:r w:rsidRPr="00F97346">
        <w:rPr>
          <w:rFonts w:ascii="Times New Roman" w:hAnsi="Times New Roman"/>
        </w:rPr>
        <w:t>Impôt</w:t>
      </w:r>
      <w:r w:rsidR="003C1006" w:rsidRPr="00F97346">
        <w:rPr>
          <w:rFonts w:ascii="Times New Roman" w:hAnsi="Times New Roman"/>
        </w:rPr>
        <w:t xml:space="preserve"> brut sans tenir compte du plafonnement du quotient familial </w:t>
      </w:r>
    </w:p>
    <w:p w:rsidR="003C1006" w:rsidRPr="00F97346" w:rsidRDefault="00E5573F" w:rsidP="00D20447">
      <w:pPr>
        <w:rPr>
          <w:color w:val="FF0000"/>
          <w:sz w:val="22"/>
        </w:rPr>
      </w:pPr>
      <w:r w:rsidRPr="00F97346">
        <w:rPr>
          <w:sz w:val="22"/>
        </w:rPr>
        <w:tab/>
      </w:r>
      <w:r w:rsidRPr="00F97346">
        <w:rPr>
          <w:sz w:val="22"/>
        </w:rPr>
        <w:tab/>
      </w:r>
      <w:r w:rsidR="003C1006" w:rsidRPr="00F97346">
        <w:rPr>
          <w:sz w:val="22"/>
        </w:rPr>
        <w:t>= (120 000 x 0,30) –</w:t>
      </w:r>
      <w:r w:rsidRPr="00F97346">
        <w:rPr>
          <w:sz w:val="22"/>
        </w:rPr>
        <w:t xml:space="preserve"> (</w:t>
      </w:r>
      <w:r w:rsidR="00014392" w:rsidRPr="00F97346">
        <w:rPr>
          <w:sz w:val="22"/>
        </w:rPr>
        <w:t>5 644,</w:t>
      </w:r>
      <w:r w:rsidR="003C1006" w:rsidRPr="00F97346">
        <w:rPr>
          <w:sz w:val="22"/>
        </w:rPr>
        <w:t>56 x</w:t>
      </w:r>
      <w:r w:rsidRPr="00F97346">
        <w:rPr>
          <w:sz w:val="22"/>
        </w:rPr>
        <w:t xml:space="preserve"> </w:t>
      </w:r>
      <w:r w:rsidR="003C1006" w:rsidRPr="00F97346">
        <w:rPr>
          <w:sz w:val="22"/>
        </w:rPr>
        <w:t xml:space="preserve">3) = 19 066 € </w:t>
      </w:r>
    </w:p>
    <w:p w:rsidR="00E5573F" w:rsidRPr="00F97346" w:rsidRDefault="00E5573F" w:rsidP="00D20447">
      <w:pPr>
        <w:rPr>
          <w:color w:val="FF0000"/>
          <w:sz w:val="22"/>
        </w:rPr>
      </w:pPr>
    </w:p>
    <w:p w:rsidR="003C1006" w:rsidRPr="00F97346" w:rsidRDefault="003C1006" w:rsidP="009C4458">
      <w:pPr>
        <w:pStyle w:val="Paragraphedeliste"/>
        <w:numPr>
          <w:ilvl w:val="0"/>
          <w:numId w:val="1"/>
        </w:numPr>
        <w:spacing w:before="0"/>
        <w:ind w:left="1037" w:hanging="357"/>
        <w:rPr>
          <w:rFonts w:ascii="Times New Roman" w:hAnsi="Times New Roman"/>
        </w:rPr>
      </w:pPr>
      <w:r w:rsidRPr="00F97346">
        <w:rPr>
          <w:rFonts w:ascii="Times New Roman" w:hAnsi="Times New Roman"/>
        </w:rPr>
        <w:t xml:space="preserve">Impôt brut en tenant compte du plafonnement du quotient familial </w:t>
      </w:r>
    </w:p>
    <w:p w:rsidR="003C1006" w:rsidRPr="00F97346" w:rsidRDefault="00E5573F" w:rsidP="00D20447">
      <w:pPr>
        <w:rPr>
          <w:sz w:val="22"/>
        </w:rPr>
      </w:pPr>
      <w:r w:rsidRPr="00F97346">
        <w:rPr>
          <w:sz w:val="22"/>
        </w:rPr>
        <w:tab/>
        <w:t>Calcul de  l’impôt pour 2 parts et déduction de</w:t>
      </w:r>
      <w:r w:rsidR="009C4458" w:rsidRPr="00F97346">
        <w:rPr>
          <w:sz w:val="22"/>
        </w:rPr>
        <w:t xml:space="preserve"> 1510</w:t>
      </w:r>
      <w:r w:rsidR="003C1006" w:rsidRPr="00F97346">
        <w:rPr>
          <w:sz w:val="22"/>
        </w:rPr>
        <w:t xml:space="preserve"> € par demi-part liée aux enfants </w:t>
      </w:r>
    </w:p>
    <w:p w:rsidR="003C1006" w:rsidRPr="00F97346" w:rsidRDefault="003C1006" w:rsidP="00D20447">
      <w:pPr>
        <w:rPr>
          <w:sz w:val="22"/>
        </w:rPr>
      </w:pPr>
    </w:p>
    <w:p w:rsidR="003C1006" w:rsidRPr="00F97346" w:rsidRDefault="00E5573F" w:rsidP="00D20447">
      <w:pPr>
        <w:rPr>
          <w:color w:val="FF0000"/>
          <w:sz w:val="22"/>
        </w:rPr>
      </w:pPr>
      <w:r w:rsidRPr="00F97346">
        <w:rPr>
          <w:sz w:val="22"/>
        </w:rPr>
        <w:tab/>
      </w:r>
      <w:r w:rsidR="003C1006" w:rsidRPr="00F97346">
        <w:rPr>
          <w:sz w:val="22"/>
        </w:rPr>
        <w:t xml:space="preserve">Quotient familial pour 2 parts = 120 000 / 2 = 60 000 € </w:t>
      </w:r>
    </w:p>
    <w:p w:rsidR="003C1006" w:rsidRPr="00F97346" w:rsidRDefault="003C1006" w:rsidP="00D20447">
      <w:pPr>
        <w:rPr>
          <w:b/>
          <w:sz w:val="22"/>
        </w:rPr>
      </w:pPr>
    </w:p>
    <w:p w:rsidR="003C1006" w:rsidRPr="00F97346" w:rsidRDefault="00E5573F" w:rsidP="00D20447">
      <w:pPr>
        <w:rPr>
          <w:sz w:val="22"/>
        </w:rPr>
      </w:pPr>
      <w:r w:rsidRPr="00F97346">
        <w:rPr>
          <w:sz w:val="22"/>
        </w:rPr>
        <w:tab/>
      </w:r>
      <w:r w:rsidR="003C1006" w:rsidRPr="00F97346">
        <w:rPr>
          <w:sz w:val="22"/>
        </w:rPr>
        <w:t>Impôt pour 2 parts = (120 000 x 0,30) – (5 644,56 x2) =</w:t>
      </w:r>
      <w:r w:rsidR="003C1006" w:rsidRPr="00F97346">
        <w:rPr>
          <w:sz w:val="22"/>
        </w:rPr>
        <w:tab/>
      </w:r>
      <w:r w:rsidR="003C1006" w:rsidRPr="00F97346">
        <w:rPr>
          <w:sz w:val="22"/>
        </w:rPr>
        <w:tab/>
        <w:t xml:space="preserve">      24 711 € </w:t>
      </w:r>
    </w:p>
    <w:p w:rsidR="003C1006" w:rsidRPr="00F97346" w:rsidRDefault="00E5573F" w:rsidP="00D20447">
      <w:pPr>
        <w:rPr>
          <w:sz w:val="22"/>
        </w:rPr>
      </w:pPr>
      <w:r w:rsidRPr="00F97346">
        <w:rPr>
          <w:sz w:val="22"/>
        </w:rPr>
        <w:tab/>
      </w:r>
      <w:r w:rsidR="00BB25FD" w:rsidRPr="00F97346">
        <w:rPr>
          <w:sz w:val="22"/>
        </w:rPr>
        <w:t xml:space="preserve">(-) avantage plafonné pour demi-parts </w:t>
      </w:r>
      <w:r w:rsidR="009C4458" w:rsidRPr="00F97346">
        <w:rPr>
          <w:sz w:val="22"/>
        </w:rPr>
        <w:t>: 1 510</w:t>
      </w:r>
      <w:r w:rsidR="003C1006" w:rsidRPr="00F97346">
        <w:rPr>
          <w:sz w:val="22"/>
        </w:rPr>
        <w:t xml:space="preserve"> x 2 </w:t>
      </w:r>
      <w:r w:rsidR="003C1006" w:rsidRPr="00F97346">
        <w:rPr>
          <w:sz w:val="22"/>
        </w:rPr>
        <w:tab/>
      </w:r>
      <w:r w:rsidR="003C1006" w:rsidRPr="00F97346">
        <w:rPr>
          <w:sz w:val="22"/>
        </w:rPr>
        <w:tab/>
      </w:r>
      <w:r w:rsidR="003C1006" w:rsidRPr="00F97346">
        <w:rPr>
          <w:sz w:val="22"/>
        </w:rPr>
        <w:tab/>
        <w:t xml:space="preserve">(-)    </w:t>
      </w:r>
      <w:r w:rsidR="003C1006" w:rsidRPr="00F97346">
        <w:rPr>
          <w:sz w:val="22"/>
          <w:u w:val="single"/>
        </w:rPr>
        <w:t>3 0</w:t>
      </w:r>
      <w:r w:rsidR="009C4458" w:rsidRPr="00F97346">
        <w:rPr>
          <w:sz w:val="22"/>
          <w:u w:val="single"/>
        </w:rPr>
        <w:t>20</w:t>
      </w:r>
      <w:r w:rsidR="003C1006" w:rsidRPr="00F97346">
        <w:rPr>
          <w:sz w:val="22"/>
        </w:rPr>
        <w:t xml:space="preserve"> € </w:t>
      </w:r>
    </w:p>
    <w:p w:rsidR="003C1006" w:rsidRPr="00F97346" w:rsidRDefault="003C1006" w:rsidP="00D20447">
      <w:pPr>
        <w:rPr>
          <w:sz w:val="22"/>
        </w:rPr>
      </w:pPr>
      <w:r w:rsidRPr="00F97346">
        <w:rPr>
          <w:sz w:val="22"/>
        </w:rPr>
        <w:tab/>
      </w:r>
      <w:r w:rsidRPr="00F97346">
        <w:rPr>
          <w:sz w:val="22"/>
        </w:rPr>
        <w:tab/>
      </w:r>
      <w:r w:rsidRPr="00F97346">
        <w:rPr>
          <w:sz w:val="22"/>
        </w:rPr>
        <w:tab/>
      </w:r>
      <w:r w:rsidRPr="00F97346">
        <w:rPr>
          <w:sz w:val="22"/>
        </w:rPr>
        <w:tab/>
      </w:r>
      <w:r w:rsidR="00E5573F" w:rsidRPr="00F97346">
        <w:rPr>
          <w:sz w:val="22"/>
        </w:rPr>
        <w:tab/>
      </w:r>
      <w:r w:rsidR="009C4458" w:rsidRPr="00F97346">
        <w:rPr>
          <w:sz w:val="22"/>
        </w:rPr>
        <w:t>Impôt brut</w:t>
      </w:r>
      <w:r w:rsidR="009C4458" w:rsidRPr="00F97346">
        <w:rPr>
          <w:sz w:val="22"/>
        </w:rPr>
        <w:tab/>
      </w:r>
      <w:r w:rsidR="009C4458" w:rsidRPr="00F97346">
        <w:rPr>
          <w:sz w:val="22"/>
        </w:rPr>
        <w:tab/>
      </w:r>
      <w:r w:rsidR="009C4458" w:rsidRPr="00F97346">
        <w:rPr>
          <w:sz w:val="22"/>
        </w:rPr>
        <w:tab/>
      </w:r>
      <w:r w:rsidR="009C4458" w:rsidRPr="00F97346">
        <w:rPr>
          <w:sz w:val="22"/>
        </w:rPr>
        <w:tab/>
        <w:t xml:space="preserve">      21 691</w:t>
      </w:r>
      <w:r w:rsidRPr="00F97346">
        <w:rPr>
          <w:sz w:val="22"/>
        </w:rPr>
        <w:t xml:space="preserve"> €</w:t>
      </w:r>
    </w:p>
    <w:p w:rsidR="00E774FE" w:rsidRPr="00F97346" w:rsidRDefault="00E774FE" w:rsidP="00D20447">
      <w:pPr>
        <w:rPr>
          <w:sz w:val="22"/>
        </w:rPr>
      </w:pPr>
    </w:p>
    <w:p w:rsidR="00E774FE" w:rsidRPr="00F97346" w:rsidRDefault="00E5573F" w:rsidP="00D20447">
      <w:pPr>
        <w:rPr>
          <w:color w:val="FF0000"/>
          <w:sz w:val="22"/>
        </w:rPr>
      </w:pPr>
      <w:r w:rsidRPr="00F97346">
        <w:rPr>
          <w:sz w:val="22"/>
        </w:rPr>
        <w:tab/>
      </w:r>
      <w:r w:rsidR="00E774FE" w:rsidRPr="00F97346">
        <w:rPr>
          <w:sz w:val="22"/>
        </w:rPr>
        <w:t xml:space="preserve">Le plafonnement s’applique, donc l’impôt brut est de </w:t>
      </w:r>
      <w:r w:rsidR="009C4458" w:rsidRPr="00F97346">
        <w:rPr>
          <w:b/>
          <w:sz w:val="22"/>
        </w:rPr>
        <w:t>21 691</w:t>
      </w:r>
      <w:r w:rsidR="00E774FE" w:rsidRPr="00F97346">
        <w:rPr>
          <w:b/>
          <w:sz w:val="22"/>
        </w:rPr>
        <w:t xml:space="preserve"> €.</w:t>
      </w:r>
    </w:p>
    <w:p w:rsidR="003C1006" w:rsidRPr="003C1006" w:rsidRDefault="003C1006" w:rsidP="00D20447">
      <w:pPr>
        <w:rPr>
          <w:sz w:val="22"/>
        </w:rPr>
      </w:pPr>
    </w:p>
    <w:p w:rsidR="009C4458" w:rsidRPr="00F56AA7" w:rsidRDefault="009C4458">
      <w:pPr>
        <w:rPr>
          <w:color w:val="FF0000"/>
          <w:sz w:val="22"/>
        </w:rPr>
      </w:pPr>
    </w:p>
    <w:sectPr w:rsidR="009C4458" w:rsidRPr="00F56AA7" w:rsidSect="006B0466">
      <w:footerReference w:type="even" r:id="rId8"/>
      <w:footerReference w:type="default" r:id="rId9"/>
      <w:footerReference w:type="first" r:id="rId10"/>
      <w:pgSz w:w="11906" w:h="16838" w:code="9"/>
      <w:pgMar w:top="1021" w:right="1021" w:bottom="1021" w:left="1021" w:header="0" w:footer="69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38" w:rsidRDefault="00A47438">
      <w:r>
        <w:separator/>
      </w:r>
    </w:p>
  </w:endnote>
  <w:endnote w:type="continuationSeparator" w:id="0">
    <w:p w:rsidR="00A47438" w:rsidRDefault="00A47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44" w:rsidRDefault="0008335F" w:rsidP="00207929">
    <w:pPr>
      <w:pStyle w:val="Pieddepage"/>
      <w:framePr w:wrap="around" w:vAnchor="text" w:hAnchor="margin" w:xAlign="right" w:y="1"/>
      <w:rPr>
        <w:rStyle w:val="Numrodepage"/>
      </w:rPr>
    </w:pPr>
    <w:r>
      <w:rPr>
        <w:rStyle w:val="Numrodepage"/>
      </w:rPr>
      <w:fldChar w:fldCharType="begin"/>
    </w:r>
    <w:r w:rsidR="009F4944">
      <w:rPr>
        <w:rStyle w:val="Numrodepage"/>
      </w:rPr>
      <w:instrText xml:space="preserve">PAGE  </w:instrText>
    </w:r>
    <w:r>
      <w:rPr>
        <w:rStyle w:val="Numrodepage"/>
      </w:rPr>
      <w:fldChar w:fldCharType="end"/>
    </w:r>
  </w:p>
  <w:p w:rsidR="009F4944" w:rsidRDefault="009F494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44" w:rsidRPr="00D67FBF" w:rsidRDefault="009F4944" w:rsidP="00D67FBF">
    <w:pPr>
      <w:pStyle w:val="Pieddepage"/>
      <w:tabs>
        <w:tab w:val="clear" w:pos="9072"/>
        <w:tab w:val="right" w:pos="9923"/>
      </w:tabs>
    </w:pPr>
    <w:r w:rsidRPr="00AC2FB6">
      <w:rPr>
        <w:sz w:val="20"/>
        <w:szCs w:val="20"/>
      </w:rPr>
      <w:t>DCG 201</w:t>
    </w:r>
    <w:r>
      <w:rPr>
        <w:sz w:val="20"/>
        <w:szCs w:val="20"/>
      </w:rPr>
      <w:t>6</w:t>
    </w:r>
    <w:r w:rsidRPr="00AC2FB6">
      <w:rPr>
        <w:sz w:val="20"/>
        <w:szCs w:val="20"/>
      </w:rPr>
      <w:t xml:space="preserve"> UE4 – Droit fiscal </w:t>
    </w:r>
    <w:r w:rsidR="00D51A06">
      <w:rPr>
        <w:sz w:val="20"/>
        <w:szCs w:val="20"/>
      </w:rPr>
      <w:t>CORRIGE</w:t>
    </w:r>
    <w:r>
      <w:rPr>
        <w:sz w:val="20"/>
        <w:szCs w:val="20"/>
      </w:rPr>
      <w:tab/>
    </w:r>
    <w:r>
      <w:rPr>
        <w:sz w:val="20"/>
        <w:szCs w:val="20"/>
      </w:rPr>
      <w:tab/>
    </w:r>
    <w:sdt>
      <w:sdtPr>
        <w:id w:val="20097401"/>
        <w:docPartObj>
          <w:docPartGallery w:val="Page Numbers (Bottom of Page)"/>
          <w:docPartUnique/>
        </w:docPartObj>
      </w:sdtPr>
      <w:sdtContent>
        <w:fldSimple w:instr=" PAGE   \* MERGEFORMAT ">
          <w:r w:rsidR="00D51A06">
            <w:rPr>
              <w:noProof/>
            </w:rPr>
            <w:t>7</w:t>
          </w:r>
        </w:fldSimple>
      </w:sdtContent>
    </w:sdt>
    <w:r w:rsidR="003A0B52">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44" w:rsidRPr="00AC2FB6" w:rsidRDefault="009F4944" w:rsidP="00140BFC">
    <w:pPr>
      <w:pStyle w:val="Pieddepage"/>
      <w:tabs>
        <w:tab w:val="clear" w:pos="9072"/>
        <w:tab w:val="right" w:pos="9781"/>
      </w:tabs>
      <w:ind w:right="360"/>
      <w:jc w:val="left"/>
      <w:rPr>
        <w:sz w:val="20"/>
        <w:szCs w:val="20"/>
      </w:rPr>
    </w:pPr>
    <w:r w:rsidRPr="00AC2FB6">
      <w:rPr>
        <w:sz w:val="20"/>
        <w:szCs w:val="20"/>
      </w:rPr>
      <w:t>DCG 201</w:t>
    </w:r>
    <w:r>
      <w:rPr>
        <w:sz w:val="20"/>
        <w:szCs w:val="20"/>
      </w:rPr>
      <w:t>6</w:t>
    </w:r>
    <w:r w:rsidRPr="00AC2FB6">
      <w:rPr>
        <w:sz w:val="20"/>
        <w:szCs w:val="20"/>
      </w:rPr>
      <w:t xml:space="preserve"> UE4 – Droit fiscal </w:t>
    </w:r>
    <w:r w:rsidR="00810ADD">
      <w:rPr>
        <w:sz w:val="20"/>
        <w:szCs w:val="20"/>
      </w:rPr>
      <w:t>CORRIGE</w:t>
    </w:r>
    <w:r w:rsidRPr="00AC2FB6">
      <w:rPr>
        <w:sz w:val="20"/>
        <w:szCs w:val="20"/>
      </w:rPr>
      <w:tab/>
    </w:r>
    <w:r w:rsidRPr="00AC2FB6">
      <w:rPr>
        <w:sz w:val="20"/>
        <w:szCs w:val="20"/>
      </w:rPr>
      <w:tab/>
    </w:r>
    <w:r w:rsidR="003A0B52">
      <w:rPr>
        <w:rStyle w:val="Numrodepage"/>
        <w:sz w:val="20"/>
        <w:szCs w:val="20"/>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38" w:rsidRDefault="00A47438">
      <w:r>
        <w:separator/>
      </w:r>
    </w:p>
  </w:footnote>
  <w:footnote w:type="continuationSeparator" w:id="0">
    <w:p w:rsidR="00A47438" w:rsidRDefault="00A47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7D3"/>
    <w:multiLevelType w:val="hybridMultilevel"/>
    <w:tmpl w:val="F32699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180498"/>
    <w:multiLevelType w:val="hybridMultilevel"/>
    <w:tmpl w:val="152EF192"/>
    <w:lvl w:ilvl="0" w:tplc="C0667C8C">
      <w:start w:val="1"/>
      <w:numFmt w:val="bullet"/>
      <w:lvlText w:val=""/>
      <w:lvlJc w:val="left"/>
      <w:pPr>
        <w:ind w:left="1040" w:hanging="360"/>
      </w:pPr>
      <w:rPr>
        <w:rFonts w:ascii="Symbol" w:hAnsi="Symbol" w:hint="default"/>
        <w:b/>
        <w:i w:val="0"/>
        <w:spacing w:val="-8"/>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B905CB"/>
    <w:multiLevelType w:val="hybridMultilevel"/>
    <w:tmpl w:val="828CCB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F82F3A"/>
    <w:multiLevelType w:val="hybridMultilevel"/>
    <w:tmpl w:val="51885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C736AB"/>
    <w:multiLevelType w:val="hybridMultilevel"/>
    <w:tmpl w:val="6422D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60716D"/>
    <w:multiLevelType w:val="hybridMultilevel"/>
    <w:tmpl w:val="A1945286"/>
    <w:lvl w:ilvl="0" w:tplc="DCC86BD0">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101378"/>
  </w:hdrShapeDefaults>
  <w:footnotePr>
    <w:footnote w:id="-1"/>
    <w:footnote w:id="0"/>
  </w:footnotePr>
  <w:endnotePr>
    <w:endnote w:id="-1"/>
    <w:endnote w:id="0"/>
  </w:endnotePr>
  <w:compat/>
  <w:rsids>
    <w:rsidRoot w:val="005C72FD"/>
    <w:rsid w:val="00003B3C"/>
    <w:rsid w:val="00004C0F"/>
    <w:rsid w:val="00005AA4"/>
    <w:rsid w:val="000123C2"/>
    <w:rsid w:val="00014392"/>
    <w:rsid w:val="000151FA"/>
    <w:rsid w:val="000221B7"/>
    <w:rsid w:val="0002391C"/>
    <w:rsid w:val="000258DA"/>
    <w:rsid w:val="00033515"/>
    <w:rsid w:val="00034766"/>
    <w:rsid w:val="000366F4"/>
    <w:rsid w:val="000372FB"/>
    <w:rsid w:val="000410C3"/>
    <w:rsid w:val="000436A6"/>
    <w:rsid w:val="000436BB"/>
    <w:rsid w:val="0004499B"/>
    <w:rsid w:val="0004590C"/>
    <w:rsid w:val="00046DDC"/>
    <w:rsid w:val="000521AC"/>
    <w:rsid w:val="000540DC"/>
    <w:rsid w:val="00054707"/>
    <w:rsid w:val="00054D4C"/>
    <w:rsid w:val="000550C8"/>
    <w:rsid w:val="00055884"/>
    <w:rsid w:val="00057B32"/>
    <w:rsid w:val="00066D7B"/>
    <w:rsid w:val="00066FAF"/>
    <w:rsid w:val="00075074"/>
    <w:rsid w:val="00082940"/>
    <w:rsid w:val="0008335F"/>
    <w:rsid w:val="000849CE"/>
    <w:rsid w:val="00086F8C"/>
    <w:rsid w:val="0009209D"/>
    <w:rsid w:val="000A2F08"/>
    <w:rsid w:val="000A4F90"/>
    <w:rsid w:val="000A53F0"/>
    <w:rsid w:val="000A5BFC"/>
    <w:rsid w:val="000B5930"/>
    <w:rsid w:val="000C7FB2"/>
    <w:rsid w:val="000D264C"/>
    <w:rsid w:val="000D4B96"/>
    <w:rsid w:val="000D6D99"/>
    <w:rsid w:val="000E0D08"/>
    <w:rsid w:val="000F253C"/>
    <w:rsid w:val="001039D8"/>
    <w:rsid w:val="00104157"/>
    <w:rsid w:val="001055D4"/>
    <w:rsid w:val="00105DB7"/>
    <w:rsid w:val="001071BA"/>
    <w:rsid w:val="0012436B"/>
    <w:rsid w:val="001262AA"/>
    <w:rsid w:val="00130249"/>
    <w:rsid w:val="00132E52"/>
    <w:rsid w:val="001374CC"/>
    <w:rsid w:val="00140BFC"/>
    <w:rsid w:val="001440D8"/>
    <w:rsid w:val="001524D8"/>
    <w:rsid w:val="001572B6"/>
    <w:rsid w:val="00160E4C"/>
    <w:rsid w:val="0016158C"/>
    <w:rsid w:val="0016194B"/>
    <w:rsid w:val="00170BB3"/>
    <w:rsid w:val="00173B51"/>
    <w:rsid w:val="00176B81"/>
    <w:rsid w:val="00196F1B"/>
    <w:rsid w:val="00197339"/>
    <w:rsid w:val="00197DB6"/>
    <w:rsid w:val="001A64DD"/>
    <w:rsid w:val="001B1BDF"/>
    <w:rsid w:val="001B4060"/>
    <w:rsid w:val="001B4D99"/>
    <w:rsid w:val="001B4DCC"/>
    <w:rsid w:val="001B61C3"/>
    <w:rsid w:val="001E1049"/>
    <w:rsid w:val="001E2035"/>
    <w:rsid w:val="001E21A8"/>
    <w:rsid w:val="001E23AF"/>
    <w:rsid w:val="001E2799"/>
    <w:rsid w:val="001E3076"/>
    <w:rsid w:val="001E5114"/>
    <w:rsid w:val="001E5230"/>
    <w:rsid w:val="001E549E"/>
    <w:rsid w:val="001F0126"/>
    <w:rsid w:val="001F03C8"/>
    <w:rsid w:val="001F504E"/>
    <w:rsid w:val="00205081"/>
    <w:rsid w:val="00206CDC"/>
    <w:rsid w:val="00207929"/>
    <w:rsid w:val="00215213"/>
    <w:rsid w:val="00215ED8"/>
    <w:rsid w:val="002253CB"/>
    <w:rsid w:val="00226307"/>
    <w:rsid w:val="00226D5E"/>
    <w:rsid w:val="002422DC"/>
    <w:rsid w:val="0024454D"/>
    <w:rsid w:val="00245DCA"/>
    <w:rsid w:val="00253C96"/>
    <w:rsid w:val="00255A7B"/>
    <w:rsid w:val="0025763A"/>
    <w:rsid w:val="002606B4"/>
    <w:rsid w:val="00261F1B"/>
    <w:rsid w:val="0028342D"/>
    <w:rsid w:val="00293695"/>
    <w:rsid w:val="002A0F4F"/>
    <w:rsid w:val="002B42CB"/>
    <w:rsid w:val="002B7A9D"/>
    <w:rsid w:val="002C046A"/>
    <w:rsid w:val="002C0807"/>
    <w:rsid w:val="002D16F0"/>
    <w:rsid w:val="002D64F0"/>
    <w:rsid w:val="002E0926"/>
    <w:rsid w:val="002F0F91"/>
    <w:rsid w:val="002F28D6"/>
    <w:rsid w:val="002F3637"/>
    <w:rsid w:val="00301468"/>
    <w:rsid w:val="0030429D"/>
    <w:rsid w:val="00304DED"/>
    <w:rsid w:val="003075C1"/>
    <w:rsid w:val="0031614E"/>
    <w:rsid w:val="00320433"/>
    <w:rsid w:val="00320A58"/>
    <w:rsid w:val="00331FF9"/>
    <w:rsid w:val="00336E8B"/>
    <w:rsid w:val="003457A1"/>
    <w:rsid w:val="003540D5"/>
    <w:rsid w:val="0035476C"/>
    <w:rsid w:val="00356970"/>
    <w:rsid w:val="00356C62"/>
    <w:rsid w:val="0036162D"/>
    <w:rsid w:val="00366A6C"/>
    <w:rsid w:val="0037024E"/>
    <w:rsid w:val="00370AA4"/>
    <w:rsid w:val="00370CE9"/>
    <w:rsid w:val="00371A43"/>
    <w:rsid w:val="00375065"/>
    <w:rsid w:val="003824A5"/>
    <w:rsid w:val="00386218"/>
    <w:rsid w:val="00386DD2"/>
    <w:rsid w:val="00395A00"/>
    <w:rsid w:val="003A0B52"/>
    <w:rsid w:val="003A187E"/>
    <w:rsid w:val="003B08DC"/>
    <w:rsid w:val="003B1EE0"/>
    <w:rsid w:val="003B2DAC"/>
    <w:rsid w:val="003B3EB6"/>
    <w:rsid w:val="003B4FEF"/>
    <w:rsid w:val="003C1006"/>
    <w:rsid w:val="003C190C"/>
    <w:rsid w:val="003C2172"/>
    <w:rsid w:val="003C5357"/>
    <w:rsid w:val="003D23C3"/>
    <w:rsid w:val="003D6AD3"/>
    <w:rsid w:val="003E07F6"/>
    <w:rsid w:val="003E0FC4"/>
    <w:rsid w:val="003E4AEC"/>
    <w:rsid w:val="003E726E"/>
    <w:rsid w:val="003F3A45"/>
    <w:rsid w:val="003F3FB0"/>
    <w:rsid w:val="003F7A2C"/>
    <w:rsid w:val="00404C46"/>
    <w:rsid w:val="00415373"/>
    <w:rsid w:val="00416940"/>
    <w:rsid w:val="00430817"/>
    <w:rsid w:val="0043519A"/>
    <w:rsid w:val="0043615D"/>
    <w:rsid w:val="004431CF"/>
    <w:rsid w:val="00443B3B"/>
    <w:rsid w:val="00444CAD"/>
    <w:rsid w:val="00450320"/>
    <w:rsid w:val="00460867"/>
    <w:rsid w:val="00462897"/>
    <w:rsid w:val="004633BD"/>
    <w:rsid w:val="004738D7"/>
    <w:rsid w:val="00475118"/>
    <w:rsid w:val="00477537"/>
    <w:rsid w:val="00490961"/>
    <w:rsid w:val="004911BD"/>
    <w:rsid w:val="00494C24"/>
    <w:rsid w:val="0049532B"/>
    <w:rsid w:val="00497A46"/>
    <w:rsid w:val="004A0854"/>
    <w:rsid w:val="004A770D"/>
    <w:rsid w:val="004B4E70"/>
    <w:rsid w:val="004C5AA3"/>
    <w:rsid w:val="004C6316"/>
    <w:rsid w:val="004D1B07"/>
    <w:rsid w:val="004D3A80"/>
    <w:rsid w:val="004D60FA"/>
    <w:rsid w:val="004D7FE3"/>
    <w:rsid w:val="004E072A"/>
    <w:rsid w:val="004E53AB"/>
    <w:rsid w:val="004E58FB"/>
    <w:rsid w:val="004F095C"/>
    <w:rsid w:val="004F0AB2"/>
    <w:rsid w:val="004F68ED"/>
    <w:rsid w:val="004F78CE"/>
    <w:rsid w:val="00501158"/>
    <w:rsid w:val="005030D3"/>
    <w:rsid w:val="00505F4C"/>
    <w:rsid w:val="00506F12"/>
    <w:rsid w:val="005126E1"/>
    <w:rsid w:val="00512A4A"/>
    <w:rsid w:val="005202D3"/>
    <w:rsid w:val="0052093D"/>
    <w:rsid w:val="005243DD"/>
    <w:rsid w:val="00542006"/>
    <w:rsid w:val="00542F28"/>
    <w:rsid w:val="005431E3"/>
    <w:rsid w:val="00546159"/>
    <w:rsid w:val="0055103F"/>
    <w:rsid w:val="005548BD"/>
    <w:rsid w:val="00555A5C"/>
    <w:rsid w:val="00570C1B"/>
    <w:rsid w:val="005735A4"/>
    <w:rsid w:val="00574331"/>
    <w:rsid w:val="00581DD2"/>
    <w:rsid w:val="005836C2"/>
    <w:rsid w:val="00591A06"/>
    <w:rsid w:val="005926F1"/>
    <w:rsid w:val="00595700"/>
    <w:rsid w:val="00595FB6"/>
    <w:rsid w:val="005978C6"/>
    <w:rsid w:val="005A08CF"/>
    <w:rsid w:val="005A1109"/>
    <w:rsid w:val="005A2543"/>
    <w:rsid w:val="005A5342"/>
    <w:rsid w:val="005A7447"/>
    <w:rsid w:val="005B0496"/>
    <w:rsid w:val="005B1BE1"/>
    <w:rsid w:val="005B255A"/>
    <w:rsid w:val="005B50EA"/>
    <w:rsid w:val="005C5924"/>
    <w:rsid w:val="005C72FD"/>
    <w:rsid w:val="005C7510"/>
    <w:rsid w:val="005C7805"/>
    <w:rsid w:val="005D2ABC"/>
    <w:rsid w:val="005D548F"/>
    <w:rsid w:val="005E0188"/>
    <w:rsid w:val="005E2502"/>
    <w:rsid w:val="005E34B3"/>
    <w:rsid w:val="005E3B45"/>
    <w:rsid w:val="005E7A7A"/>
    <w:rsid w:val="005F0ABC"/>
    <w:rsid w:val="005F161F"/>
    <w:rsid w:val="005F3A5E"/>
    <w:rsid w:val="005F5203"/>
    <w:rsid w:val="005F657F"/>
    <w:rsid w:val="005F68FD"/>
    <w:rsid w:val="00602EA0"/>
    <w:rsid w:val="00612160"/>
    <w:rsid w:val="00622EC1"/>
    <w:rsid w:val="00631BD2"/>
    <w:rsid w:val="00637E4B"/>
    <w:rsid w:val="00644D59"/>
    <w:rsid w:val="00645B8C"/>
    <w:rsid w:val="00646708"/>
    <w:rsid w:val="00655CAD"/>
    <w:rsid w:val="00662E90"/>
    <w:rsid w:val="0067056E"/>
    <w:rsid w:val="006707A1"/>
    <w:rsid w:val="00670D18"/>
    <w:rsid w:val="006724CC"/>
    <w:rsid w:val="0067331C"/>
    <w:rsid w:val="00676121"/>
    <w:rsid w:val="00677941"/>
    <w:rsid w:val="00680402"/>
    <w:rsid w:val="00681A34"/>
    <w:rsid w:val="00684DB9"/>
    <w:rsid w:val="00687E89"/>
    <w:rsid w:val="006904C7"/>
    <w:rsid w:val="006A5AE4"/>
    <w:rsid w:val="006A5EDD"/>
    <w:rsid w:val="006A7492"/>
    <w:rsid w:val="006B0466"/>
    <w:rsid w:val="006B11C2"/>
    <w:rsid w:val="006B2080"/>
    <w:rsid w:val="006B2AD8"/>
    <w:rsid w:val="006B5425"/>
    <w:rsid w:val="006C2F1F"/>
    <w:rsid w:val="006C5EC7"/>
    <w:rsid w:val="006D1595"/>
    <w:rsid w:val="006D7BE4"/>
    <w:rsid w:val="006E319D"/>
    <w:rsid w:val="006E5D5B"/>
    <w:rsid w:val="006E5DFF"/>
    <w:rsid w:val="006F0F5B"/>
    <w:rsid w:val="006F4B10"/>
    <w:rsid w:val="00701381"/>
    <w:rsid w:val="007017C0"/>
    <w:rsid w:val="00702575"/>
    <w:rsid w:val="007066AB"/>
    <w:rsid w:val="00706BCD"/>
    <w:rsid w:val="00706FD0"/>
    <w:rsid w:val="0071088C"/>
    <w:rsid w:val="00715DD8"/>
    <w:rsid w:val="0071768C"/>
    <w:rsid w:val="00720D32"/>
    <w:rsid w:val="00720E63"/>
    <w:rsid w:val="00723918"/>
    <w:rsid w:val="007249BE"/>
    <w:rsid w:val="00724DB5"/>
    <w:rsid w:val="00726749"/>
    <w:rsid w:val="00730310"/>
    <w:rsid w:val="00731436"/>
    <w:rsid w:val="00732CB2"/>
    <w:rsid w:val="007335CD"/>
    <w:rsid w:val="00733952"/>
    <w:rsid w:val="00735097"/>
    <w:rsid w:val="00740F50"/>
    <w:rsid w:val="007443FA"/>
    <w:rsid w:val="00750D3C"/>
    <w:rsid w:val="00757D70"/>
    <w:rsid w:val="0076105F"/>
    <w:rsid w:val="007617B4"/>
    <w:rsid w:val="0076301E"/>
    <w:rsid w:val="00765DC9"/>
    <w:rsid w:val="00767AB4"/>
    <w:rsid w:val="00770322"/>
    <w:rsid w:val="00771889"/>
    <w:rsid w:val="00774C58"/>
    <w:rsid w:val="00781C66"/>
    <w:rsid w:val="00782AF5"/>
    <w:rsid w:val="007862AE"/>
    <w:rsid w:val="007865D7"/>
    <w:rsid w:val="00787B76"/>
    <w:rsid w:val="007935C2"/>
    <w:rsid w:val="00793C6C"/>
    <w:rsid w:val="007A46AA"/>
    <w:rsid w:val="007A5543"/>
    <w:rsid w:val="007A6A6C"/>
    <w:rsid w:val="007B794E"/>
    <w:rsid w:val="007C2A29"/>
    <w:rsid w:val="007C5C9D"/>
    <w:rsid w:val="007C5F37"/>
    <w:rsid w:val="007C6924"/>
    <w:rsid w:val="007D0868"/>
    <w:rsid w:val="007D7018"/>
    <w:rsid w:val="007E1A3C"/>
    <w:rsid w:val="007E62E6"/>
    <w:rsid w:val="007E77DA"/>
    <w:rsid w:val="007F0DBC"/>
    <w:rsid w:val="007F377F"/>
    <w:rsid w:val="007F5FFC"/>
    <w:rsid w:val="007F6EB1"/>
    <w:rsid w:val="007F70E2"/>
    <w:rsid w:val="00802ABF"/>
    <w:rsid w:val="0080512F"/>
    <w:rsid w:val="00805D79"/>
    <w:rsid w:val="00807AC1"/>
    <w:rsid w:val="00810290"/>
    <w:rsid w:val="0081090C"/>
    <w:rsid w:val="00810ADD"/>
    <w:rsid w:val="00815C89"/>
    <w:rsid w:val="008173EF"/>
    <w:rsid w:val="008216F6"/>
    <w:rsid w:val="0083027B"/>
    <w:rsid w:val="0083258D"/>
    <w:rsid w:val="00833DAB"/>
    <w:rsid w:val="008414D8"/>
    <w:rsid w:val="00843A55"/>
    <w:rsid w:val="00843B88"/>
    <w:rsid w:val="00845ECC"/>
    <w:rsid w:val="008469F9"/>
    <w:rsid w:val="00847867"/>
    <w:rsid w:val="008528C7"/>
    <w:rsid w:val="00855FF9"/>
    <w:rsid w:val="00864323"/>
    <w:rsid w:val="00867171"/>
    <w:rsid w:val="00870118"/>
    <w:rsid w:val="00872472"/>
    <w:rsid w:val="0087440E"/>
    <w:rsid w:val="00875879"/>
    <w:rsid w:val="00880478"/>
    <w:rsid w:val="008927AD"/>
    <w:rsid w:val="00894A64"/>
    <w:rsid w:val="0089641E"/>
    <w:rsid w:val="0089764C"/>
    <w:rsid w:val="008A0C4F"/>
    <w:rsid w:val="008A22B6"/>
    <w:rsid w:val="008B1730"/>
    <w:rsid w:val="008B1DDC"/>
    <w:rsid w:val="008B27ED"/>
    <w:rsid w:val="008B3451"/>
    <w:rsid w:val="008B363D"/>
    <w:rsid w:val="008B60F2"/>
    <w:rsid w:val="008B7D25"/>
    <w:rsid w:val="008C0A0E"/>
    <w:rsid w:val="008C390A"/>
    <w:rsid w:val="008C7442"/>
    <w:rsid w:val="008C7795"/>
    <w:rsid w:val="008D3B3C"/>
    <w:rsid w:val="008E4BAA"/>
    <w:rsid w:val="008F195D"/>
    <w:rsid w:val="008F4BD4"/>
    <w:rsid w:val="008F6E70"/>
    <w:rsid w:val="008F7AF9"/>
    <w:rsid w:val="0090369E"/>
    <w:rsid w:val="00906A8E"/>
    <w:rsid w:val="00914AB5"/>
    <w:rsid w:val="0091586E"/>
    <w:rsid w:val="009200F1"/>
    <w:rsid w:val="00922E2E"/>
    <w:rsid w:val="009231E3"/>
    <w:rsid w:val="00925004"/>
    <w:rsid w:val="0092512D"/>
    <w:rsid w:val="0092691E"/>
    <w:rsid w:val="0093118B"/>
    <w:rsid w:val="00935C87"/>
    <w:rsid w:val="00941740"/>
    <w:rsid w:val="009424B4"/>
    <w:rsid w:val="00945819"/>
    <w:rsid w:val="00945BC3"/>
    <w:rsid w:val="009533F9"/>
    <w:rsid w:val="00954975"/>
    <w:rsid w:val="00961689"/>
    <w:rsid w:val="00966BBF"/>
    <w:rsid w:val="00972F8E"/>
    <w:rsid w:val="0097451B"/>
    <w:rsid w:val="00974B4F"/>
    <w:rsid w:val="00975A55"/>
    <w:rsid w:val="0098112C"/>
    <w:rsid w:val="00981186"/>
    <w:rsid w:val="00982B6D"/>
    <w:rsid w:val="0098314B"/>
    <w:rsid w:val="00986F8E"/>
    <w:rsid w:val="009927F9"/>
    <w:rsid w:val="009969B4"/>
    <w:rsid w:val="009A04E8"/>
    <w:rsid w:val="009A0AA8"/>
    <w:rsid w:val="009A38E5"/>
    <w:rsid w:val="009A47F8"/>
    <w:rsid w:val="009A7A25"/>
    <w:rsid w:val="009B10CB"/>
    <w:rsid w:val="009B26AA"/>
    <w:rsid w:val="009B724F"/>
    <w:rsid w:val="009C0630"/>
    <w:rsid w:val="009C14C3"/>
    <w:rsid w:val="009C441B"/>
    <w:rsid w:val="009C4458"/>
    <w:rsid w:val="009C6DC3"/>
    <w:rsid w:val="009D2EB2"/>
    <w:rsid w:val="009D3B0A"/>
    <w:rsid w:val="009D5239"/>
    <w:rsid w:val="009D60F2"/>
    <w:rsid w:val="009E18E5"/>
    <w:rsid w:val="009E73DA"/>
    <w:rsid w:val="009F076A"/>
    <w:rsid w:val="009F0964"/>
    <w:rsid w:val="009F4944"/>
    <w:rsid w:val="009F5205"/>
    <w:rsid w:val="00A00354"/>
    <w:rsid w:val="00A04F9E"/>
    <w:rsid w:val="00A0579E"/>
    <w:rsid w:val="00A12D25"/>
    <w:rsid w:val="00A14716"/>
    <w:rsid w:val="00A1514E"/>
    <w:rsid w:val="00A17484"/>
    <w:rsid w:val="00A176B0"/>
    <w:rsid w:val="00A23857"/>
    <w:rsid w:val="00A23E22"/>
    <w:rsid w:val="00A31242"/>
    <w:rsid w:val="00A37D25"/>
    <w:rsid w:val="00A41C4C"/>
    <w:rsid w:val="00A4706D"/>
    <w:rsid w:val="00A47438"/>
    <w:rsid w:val="00A53991"/>
    <w:rsid w:val="00A60AB3"/>
    <w:rsid w:val="00A611F7"/>
    <w:rsid w:val="00A64E2B"/>
    <w:rsid w:val="00A65C9A"/>
    <w:rsid w:val="00A7694C"/>
    <w:rsid w:val="00A77AA4"/>
    <w:rsid w:val="00A81D4A"/>
    <w:rsid w:val="00A91224"/>
    <w:rsid w:val="00A9141D"/>
    <w:rsid w:val="00A94DBA"/>
    <w:rsid w:val="00A963EB"/>
    <w:rsid w:val="00AB2208"/>
    <w:rsid w:val="00AB45A9"/>
    <w:rsid w:val="00AB7E32"/>
    <w:rsid w:val="00AC2FB6"/>
    <w:rsid w:val="00AC3BDD"/>
    <w:rsid w:val="00AC65A8"/>
    <w:rsid w:val="00AC7107"/>
    <w:rsid w:val="00AD0AC9"/>
    <w:rsid w:val="00AE060B"/>
    <w:rsid w:val="00AE1F6B"/>
    <w:rsid w:val="00AE2670"/>
    <w:rsid w:val="00AE7873"/>
    <w:rsid w:val="00AE7C9D"/>
    <w:rsid w:val="00AF2E95"/>
    <w:rsid w:val="00AF3238"/>
    <w:rsid w:val="00AF5335"/>
    <w:rsid w:val="00B12910"/>
    <w:rsid w:val="00B171BA"/>
    <w:rsid w:val="00B17FAD"/>
    <w:rsid w:val="00B22F3E"/>
    <w:rsid w:val="00B31ADA"/>
    <w:rsid w:val="00B32F40"/>
    <w:rsid w:val="00B33C43"/>
    <w:rsid w:val="00B35166"/>
    <w:rsid w:val="00B36845"/>
    <w:rsid w:val="00B36D73"/>
    <w:rsid w:val="00B428AC"/>
    <w:rsid w:val="00B46353"/>
    <w:rsid w:val="00B46CB6"/>
    <w:rsid w:val="00B536C4"/>
    <w:rsid w:val="00B54487"/>
    <w:rsid w:val="00B607DE"/>
    <w:rsid w:val="00B6298A"/>
    <w:rsid w:val="00B6308E"/>
    <w:rsid w:val="00B63BFB"/>
    <w:rsid w:val="00B867ED"/>
    <w:rsid w:val="00B94ECE"/>
    <w:rsid w:val="00B95455"/>
    <w:rsid w:val="00B95B64"/>
    <w:rsid w:val="00B968B0"/>
    <w:rsid w:val="00B970D9"/>
    <w:rsid w:val="00BA1813"/>
    <w:rsid w:val="00BA424C"/>
    <w:rsid w:val="00BB0690"/>
    <w:rsid w:val="00BB25FD"/>
    <w:rsid w:val="00BB3377"/>
    <w:rsid w:val="00BB6D4E"/>
    <w:rsid w:val="00BC04C8"/>
    <w:rsid w:val="00BC581A"/>
    <w:rsid w:val="00BC72A5"/>
    <w:rsid w:val="00BD24DE"/>
    <w:rsid w:val="00BD4DC3"/>
    <w:rsid w:val="00BD5973"/>
    <w:rsid w:val="00BD775F"/>
    <w:rsid w:val="00BE4DCC"/>
    <w:rsid w:val="00BE6D6F"/>
    <w:rsid w:val="00BE7C6B"/>
    <w:rsid w:val="00C020BB"/>
    <w:rsid w:val="00C242A4"/>
    <w:rsid w:val="00C279D1"/>
    <w:rsid w:val="00C3048A"/>
    <w:rsid w:val="00C51DAC"/>
    <w:rsid w:val="00C51FA9"/>
    <w:rsid w:val="00C628EB"/>
    <w:rsid w:val="00C72BAC"/>
    <w:rsid w:val="00C753C2"/>
    <w:rsid w:val="00C75B55"/>
    <w:rsid w:val="00C75F92"/>
    <w:rsid w:val="00C83A81"/>
    <w:rsid w:val="00C85E9A"/>
    <w:rsid w:val="00C86A25"/>
    <w:rsid w:val="00C86A70"/>
    <w:rsid w:val="00C92737"/>
    <w:rsid w:val="00C95550"/>
    <w:rsid w:val="00C95CCC"/>
    <w:rsid w:val="00CA00F0"/>
    <w:rsid w:val="00CA0E6A"/>
    <w:rsid w:val="00CA1E17"/>
    <w:rsid w:val="00CA3F57"/>
    <w:rsid w:val="00CA6DA5"/>
    <w:rsid w:val="00CB61A0"/>
    <w:rsid w:val="00CC1C07"/>
    <w:rsid w:val="00CC21C3"/>
    <w:rsid w:val="00CC60BC"/>
    <w:rsid w:val="00CD2083"/>
    <w:rsid w:val="00CD3A98"/>
    <w:rsid w:val="00CD7631"/>
    <w:rsid w:val="00CE0BAC"/>
    <w:rsid w:val="00CE0D61"/>
    <w:rsid w:val="00CF11CE"/>
    <w:rsid w:val="00CF6990"/>
    <w:rsid w:val="00D0064B"/>
    <w:rsid w:val="00D02FB8"/>
    <w:rsid w:val="00D107B5"/>
    <w:rsid w:val="00D139C1"/>
    <w:rsid w:val="00D147D4"/>
    <w:rsid w:val="00D16049"/>
    <w:rsid w:val="00D20447"/>
    <w:rsid w:val="00D309EB"/>
    <w:rsid w:val="00D32EDA"/>
    <w:rsid w:val="00D34315"/>
    <w:rsid w:val="00D41164"/>
    <w:rsid w:val="00D42412"/>
    <w:rsid w:val="00D435CE"/>
    <w:rsid w:val="00D43C03"/>
    <w:rsid w:val="00D502BF"/>
    <w:rsid w:val="00D51A06"/>
    <w:rsid w:val="00D51A18"/>
    <w:rsid w:val="00D61C8D"/>
    <w:rsid w:val="00D654BB"/>
    <w:rsid w:val="00D67411"/>
    <w:rsid w:val="00D67FBF"/>
    <w:rsid w:val="00D77110"/>
    <w:rsid w:val="00D775E4"/>
    <w:rsid w:val="00D827A8"/>
    <w:rsid w:val="00D84716"/>
    <w:rsid w:val="00D87BDC"/>
    <w:rsid w:val="00D9569F"/>
    <w:rsid w:val="00DA0A70"/>
    <w:rsid w:val="00DB2454"/>
    <w:rsid w:val="00DB5074"/>
    <w:rsid w:val="00DC1300"/>
    <w:rsid w:val="00DC1AFF"/>
    <w:rsid w:val="00DC1CE7"/>
    <w:rsid w:val="00DC2D6F"/>
    <w:rsid w:val="00DD3F53"/>
    <w:rsid w:val="00DD56BE"/>
    <w:rsid w:val="00DD6432"/>
    <w:rsid w:val="00DE604A"/>
    <w:rsid w:val="00DE69F9"/>
    <w:rsid w:val="00E00C93"/>
    <w:rsid w:val="00E139DF"/>
    <w:rsid w:val="00E16561"/>
    <w:rsid w:val="00E1670E"/>
    <w:rsid w:val="00E16AB2"/>
    <w:rsid w:val="00E20C12"/>
    <w:rsid w:val="00E23C7C"/>
    <w:rsid w:val="00E24623"/>
    <w:rsid w:val="00E32751"/>
    <w:rsid w:val="00E328AD"/>
    <w:rsid w:val="00E32D56"/>
    <w:rsid w:val="00E406DC"/>
    <w:rsid w:val="00E414CE"/>
    <w:rsid w:val="00E5573F"/>
    <w:rsid w:val="00E62B72"/>
    <w:rsid w:val="00E63BC4"/>
    <w:rsid w:val="00E74F26"/>
    <w:rsid w:val="00E756E2"/>
    <w:rsid w:val="00E76E55"/>
    <w:rsid w:val="00E774FE"/>
    <w:rsid w:val="00E85051"/>
    <w:rsid w:val="00E90D09"/>
    <w:rsid w:val="00E93C56"/>
    <w:rsid w:val="00EA19E1"/>
    <w:rsid w:val="00EA309C"/>
    <w:rsid w:val="00EA3CB7"/>
    <w:rsid w:val="00EB6C7B"/>
    <w:rsid w:val="00EC2D16"/>
    <w:rsid w:val="00EC46D4"/>
    <w:rsid w:val="00EC5B8C"/>
    <w:rsid w:val="00EC7846"/>
    <w:rsid w:val="00ED0F3E"/>
    <w:rsid w:val="00ED3EF6"/>
    <w:rsid w:val="00ED4AAF"/>
    <w:rsid w:val="00ED5760"/>
    <w:rsid w:val="00ED6380"/>
    <w:rsid w:val="00EE00A6"/>
    <w:rsid w:val="00EE5257"/>
    <w:rsid w:val="00EF71A0"/>
    <w:rsid w:val="00F02EEA"/>
    <w:rsid w:val="00F1531B"/>
    <w:rsid w:val="00F21015"/>
    <w:rsid w:val="00F22086"/>
    <w:rsid w:val="00F2250F"/>
    <w:rsid w:val="00F2574A"/>
    <w:rsid w:val="00F32C3F"/>
    <w:rsid w:val="00F36049"/>
    <w:rsid w:val="00F42225"/>
    <w:rsid w:val="00F426DA"/>
    <w:rsid w:val="00F51D48"/>
    <w:rsid w:val="00F53E17"/>
    <w:rsid w:val="00F56AA7"/>
    <w:rsid w:val="00F6135E"/>
    <w:rsid w:val="00F63CC8"/>
    <w:rsid w:val="00F65DAE"/>
    <w:rsid w:val="00F71151"/>
    <w:rsid w:val="00F73B82"/>
    <w:rsid w:val="00F746F8"/>
    <w:rsid w:val="00F771D1"/>
    <w:rsid w:val="00F8050A"/>
    <w:rsid w:val="00F8315B"/>
    <w:rsid w:val="00F92B91"/>
    <w:rsid w:val="00F97346"/>
    <w:rsid w:val="00F97F8D"/>
    <w:rsid w:val="00FA4A71"/>
    <w:rsid w:val="00FA7796"/>
    <w:rsid w:val="00FB51DC"/>
    <w:rsid w:val="00FB6795"/>
    <w:rsid w:val="00FC2089"/>
    <w:rsid w:val="00FC367A"/>
    <w:rsid w:val="00FD129B"/>
    <w:rsid w:val="00FD26C4"/>
    <w:rsid w:val="00FF172E"/>
    <w:rsid w:val="00FF2564"/>
    <w:rsid w:val="00FF2F32"/>
    <w:rsid w:val="00FF4754"/>
    <w:rsid w:val="00FF69C2"/>
    <w:rsid w:val="00FF6F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uiPriority="99"/>
    <w:lsdException w:name="HTML Sampl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D4C"/>
    <w:pPr>
      <w:jc w:val="both"/>
    </w:pPr>
    <w:rPr>
      <w:sz w:val="24"/>
      <w:szCs w:val="22"/>
    </w:rPr>
  </w:style>
  <w:style w:type="paragraph" w:styleId="Titre1">
    <w:name w:val="heading 1"/>
    <w:basedOn w:val="Normal"/>
    <w:next w:val="Normal"/>
    <w:qFormat/>
    <w:rsid w:val="00054D4C"/>
    <w:pPr>
      <w:keepNext/>
      <w:outlineLvl w:val="0"/>
    </w:pPr>
    <w:rPr>
      <w:b/>
      <w:bCs/>
      <w:sz w:val="36"/>
      <w:szCs w:val="36"/>
    </w:rPr>
  </w:style>
  <w:style w:type="paragraph" w:styleId="Titre2">
    <w:name w:val="heading 2"/>
    <w:basedOn w:val="Normal"/>
    <w:next w:val="Normal"/>
    <w:qFormat/>
    <w:rsid w:val="00054D4C"/>
    <w:pPr>
      <w:keepNext/>
      <w:jc w:val="right"/>
      <w:outlineLvl w:val="1"/>
    </w:pPr>
    <w:rPr>
      <w:sz w:val="28"/>
      <w:szCs w:val="28"/>
    </w:rPr>
  </w:style>
  <w:style w:type="paragraph" w:styleId="Titre3">
    <w:name w:val="heading 3"/>
    <w:basedOn w:val="Normal"/>
    <w:next w:val="Normal"/>
    <w:qFormat/>
    <w:rsid w:val="00054D4C"/>
    <w:pPr>
      <w:keepNext/>
      <w:spacing w:line="259" w:lineRule="auto"/>
      <w:jc w:val="center"/>
      <w:outlineLvl w:val="2"/>
    </w:pPr>
    <w:rPr>
      <w:b/>
      <w:sz w:val="32"/>
      <w:szCs w:val="32"/>
    </w:rPr>
  </w:style>
  <w:style w:type="paragraph" w:styleId="Titre4">
    <w:name w:val="heading 4"/>
    <w:basedOn w:val="Normal"/>
    <w:next w:val="Normal"/>
    <w:qFormat/>
    <w:rsid w:val="00054D4C"/>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054D4C"/>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054D4C"/>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054D4C"/>
    <w:pPr>
      <w:keepNext/>
      <w:tabs>
        <w:tab w:val="left" w:pos="284"/>
        <w:tab w:val="left" w:pos="9356"/>
      </w:tabs>
      <w:outlineLvl w:val="6"/>
    </w:pPr>
    <w:rPr>
      <w:b/>
      <w:bCs/>
      <w:spacing w:val="-14"/>
      <w:sz w:val="22"/>
    </w:rPr>
  </w:style>
  <w:style w:type="paragraph" w:styleId="Titre8">
    <w:name w:val="heading 8"/>
    <w:basedOn w:val="Normal"/>
    <w:next w:val="Normal"/>
    <w:qFormat/>
    <w:rsid w:val="00054D4C"/>
    <w:pPr>
      <w:keepNext/>
      <w:tabs>
        <w:tab w:val="left" w:pos="284"/>
        <w:tab w:val="left" w:pos="9356"/>
      </w:tabs>
      <w:ind w:right="-427"/>
      <w:outlineLvl w:val="7"/>
    </w:pPr>
    <w:rPr>
      <w:b/>
      <w:bCs/>
      <w:spacing w:val="-15"/>
      <w:sz w:val="22"/>
    </w:rPr>
  </w:style>
  <w:style w:type="paragraph" w:styleId="Titre9">
    <w:name w:val="heading 9"/>
    <w:basedOn w:val="Normal"/>
    <w:next w:val="Normal"/>
    <w:qFormat/>
    <w:rsid w:val="00054D4C"/>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54D4C"/>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054D4C"/>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054D4C"/>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054D4C"/>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054D4C"/>
    <w:pPr>
      <w:tabs>
        <w:tab w:val="center" w:pos="4536"/>
        <w:tab w:val="right" w:pos="9072"/>
      </w:tabs>
    </w:pPr>
  </w:style>
  <w:style w:type="character" w:styleId="Numrodepage">
    <w:name w:val="page number"/>
    <w:basedOn w:val="Policepardfaut"/>
    <w:rsid w:val="00054D4C"/>
  </w:style>
  <w:style w:type="paragraph" w:styleId="En-tte">
    <w:name w:val="header"/>
    <w:basedOn w:val="Normal"/>
    <w:rsid w:val="00054D4C"/>
    <w:pPr>
      <w:tabs>
        <w:tab w:val="center" w:pos="4536"/>
        <w:tab w:val="right" w:pos="9072"/>
      </w:tabs>
    </w:pPr>
  </w:style>
  <w:style w:type="table" w:styleId="Grilledutableau">
    <w:name w:val="Table Grid"/>
    <w:basedOn w:val="TableauNormal"/>
    <w:uiPriority w:val="59"/>
    <w:rsid w:val="00945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21">
    <w:name w:val="Corps de texte 21"/>
    <w:basedOn w:val="Normal"/>
    <w:rsid w:val="005D2ABC"/>
    <w:pPr>
      <w:overflowPunct w:val="0"/>
      <w:autoSpaceDE w:val="0"/>
      <w:autoSpaceDN w:val="0"/>
      <w:adjustRightInd w:val="0"/>
      <w:jc w:val="left"/>
    </w:pPr>
    <w:rPr>
      <w:b/>
      <w:szCs w:val="20"/>
    </w:rPr>
  </w:style>
  <w:style w:type="paragraph" w:styleId="Corpsdetexte2">
    <w:name w:val="Body Text 2"/>
    <w:basedOn w:val="Normal"/>
    <w:link w:val="Corpsdetexte2Car"/>
    <w:rsid w:val="005D2ABC"/>
    <w:rPr>
      <w:b/>
      <w:bCs/>
      <w:szCs w:val="24"/>
    </w:rPr>
  </w:style>
  <w:style w:type="character" w:customStyle="1" w:styleId="Corpsdetexte2Car">
    <w:name w:val="Corps de texte 2 Car"/>
    <w:link w:val="Corpsdetexte2"/>
    <w:rsid w:val="005D2ABC"/>
    <w:rPr>
      <w:b/>
      <w:bCs/>
      <w:sz w:val="24"/>
      <w:szCs w:val="24"/>
    </w:rPr>
  </w:style>
  <w:style w:type="character" w:styleId="Marquedecommentaire">
    <w:name w:val="annotation reference"/>
    <w:rsid w:val="00F92B91"/>
    <w:rPr>
      <w:sz w:val="16"/>
      <w:szCs w:val="16"/>
    </w:rPr>
  </w:style>
  <w:style w:type="paragraph" w:styleId="Objetducommentaire">
    <w:name w:val="annotation subject"/>
    <w:basedOn w:val="Commentaire"/>
    <w:next w:val="Commentaire"/>
    <w:link w:val="ObjetducommentaireCar"/>
    <w:rsid w:val="00F92B9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F92B91"/>
    <w:rPr>
      <w:rFonts w:ascii="Arial" w:hAnsi="Arial" w:cs="Arial"/>
      <w:b/>
      <w:bCs/>
    </w:rPr>
  </w:style>
  <w:style w:type="character" w:customStyle="1" w:styleId="ObjetducommentaireCar">
    <w:name w:val="Objet du commentaire Car"/>
    <w:basedOn w:val="CommentaireCar"/>
    <w:link w:val="Objetducommentaire"/>
    <w:rsid w:val="00F92B91"/>
    <w:rPr>
      <w:rFonts w:ascii="Arial" w:hAnsi="Arial" w:cs="Arial"/>
      <w:b/>
      <w:bCs/>
    </w:rPr>
  </w:style>
  <w:style w:type="paragraph" w:styleId="Textedebulles">
    <w:name w:val="Balloon Text"/>
    <w:basedOn w:val="Normal"/>
    <w:link w:val="TextedebullesCar"/>
    <w:rsid w:val="00F92B91"/>
    <w:rPr>
      <w:rFonts w:ascii="Tahoma" w:hAnsi="Tahoma" w:cs="Tahoma"/>
      <w:sz w:val="16"/>
      <w:szCs w:val="16"/>
    </w:rPr>
  </w:style>
  <w:style w:type="character" w:customStyle="1" w:styleId="TextedebullesCar">
    <w:name w:val="Texte de bulles Car"/>
    <w:link w:val="Textedebulles"/>
    <w:rsid w:val="00F92B91"/>
    <w:rPr>
      <w:rFonts w:ascii="Tahoma" w:hAnsi="Tahoma" w:cs="Tahoma"/>
      <w:sz w:val="16"/>
      <w:szCs w:val="16"/>
    </w:rPr>
  </w:style>
  <w:style w:type="character" w:customStyle="1" w:styleId="ctparagraphe">
    <w:name w:val="ct_paragraphe"/>
    <w:rsid w:val="002D64F0"/>
  </w:style>
  <w:style w:type="paragraph" w:styleId="NormalWeb">
    <w:name w:val="Normal (Web)"/>
    <w:basedOn w:val="Normal"/>
    <w:uiPriority w:val="99"/>
    <w:unhideWhenUsed/>
    <w:rsid w:val="002D64F0"/>
    <w:pPr>
      <w:spacing w:before="100" w:beforeAutospacing="1" w:after="100" w:afterAutospacing="1"/>
      <w:jc w:val="left"/>
    </w:pPr>
    <w:rPr>
      <w:szCs w:val="24"/>
    </w:rPr>
  </w:style>
  <w:style w:type="character" w:styleId="Lienhypertexte">
    <w:name w:val="Hyperlink"/>
    <w:uiPriority w:val="99"/>
    <w:unhideWhenUsed/>
    <w:rsid w:val="002D64F0"/>
    <w:rPr>
      <w:color w:val="0000FF"/>
      <w:u w:val="single"/>
    </w:rPr>
  </w:style>
  <w:style w:type="character" w:styleId="lev">
    <w:name w:val="Strong"/>
    <w:uiPriority w:val="22"/>
    <w:qFormat/>
    <w:rsid w:val="00A176B0"/>
    <w:rPr>
      <w:b/>
      <w:bCs/>
    </w:rPr>
  </w:style>
  <w:style w:type="character" w:customStyle="1" w:styleId="apple-converted-space">
    <w:name w:val="apple-converted-space"/>
    <w:rsid w:val="00A176B0"/>
  </w:style>
  <w:style w:type="paragraph" w:styleId="Paragraphedeliste">
    <w:name w:val="List Paragraph"/>
    <w:basedOn w:val="Normal"/>
    <w:uiPriority w:val="34"/>
    <w:qFormat/>
    <w:rsid w:val="00AB7E32"/>
    <w:pPr>
      <w:spacing w:before="480" w:line="276" w:lineRule="auto"/>
      <w:ind w:left="720"/>
      <w:contextualSpacing/>
      <w:jc w:val="left"/>
    </w:pPr>
    <w:rPr>
      <w:rFonts w:ascii="Calibri" w:eastAsia="Calibri" w:hAnsi="Calibri"/>
      <w:sz w:val="22"/>
      <w:lang w:eastAsia="en-US"/>
    </w:rPr>
  </w:style>
  <w:style w:type="character" w:customStyle="1" w:styleId="prix">
    <w:name w:val="prix"/>
    <w:rsid w:val="0030429D"/>
  </w:style>
  <w:style w:type="character" w:styleId="DfinitionHTML">
    <w:name w:val="HTML Definition"/>
    <w:uiPriority w:val="99"/>
    <w:unhideWhenUsed/>
    <w:rsid w:val="0030429D"/>
    <w:rPr>
      <w:i/>
      <w:iCs/>
    </w:rPr>
  </w:style>
  <w:style w:type="character" w:customStyle="1" w:styleId="PieddepageCar">
    <w:name w:val="Pied de page Car"/>
    <w:link w:val="Pieddepage"/>
    <w:uiPriority w:val="99"/>
    <w:rsid w:val="00ED4AAF"/>
    <w:rPr>
      <w:sz w:val="24"/>
      <w:szCs w:val="22"/>
    </w:rPr>
  </w:style>
  <w:style w:type="paragraph" w:customStyle="1" w:styleId="paragraphe-western">
    <w:name w:val="paragraphe-western"/>
    <w:basedOn w:val="Normal"/>
    <w:rsid w:val="00AD0AC9"/>
    <w:pPr>
      <w:spacing w:before="100" w:beforeAutospacing="1" w:after="100" w:afterAutospacing="1"/>
      <w:jc w:val="left"/>
    </w:pPr>
    <w:rPr>
      <w:szCs w:val="24"/>
    </w:rPr>
  </w:style>
  <w:style w:type="character" w:styleId="ExempleHTML">
    <w:name w:val="HTML Sample"/>
    <w:basedOn w:val="Policepardfaut"/>
    <w:uiPriority w:val="99"/>
    <w:unhideWhenUsed/>
    <w:rsid w:val="00130249"/>
    <w:rPr>
      <w:rFonts w:ascii="Courier New" w:eastAsia="Times New Roman" w:hAnsi="Courier New" w:cs="Courier New"/>
    </w:rPr>
  </w:style>
  <w:style w:type="paragraph" w:customStyle="1" w:styleId="niv1">
    <w:name w:val="niv1"/>
    <w:basedOn w:val="Normal"/>
    <w:rsid w:val="006C5EC7"/>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uiPriority="99"/>
    <w:lsdException w:name="HTML Sampl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table" w:styleId="Grilledutableau">
    <w:name w:val="Table Grid"/>
    <w:basedOn w:val="TableauNormal"/>
    <w:uiPriority w:val="59"/>
    <w:rsid w:val="0094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5D2ABC"/>
    <w:pPr>
      <w:overflowPunct w:val="0"/>
      <w:autoSpaceDE w:val="0"/>
      <w:autoSpaceDN w:val="0"/>
      <w:adjustRightInd w:val="0"/>
      <w:jc w:val="left"/>
    </w:pPr>
    <w:rPr>
      <w:b/>
      <w:szCs w:val="20"/>
    </w:rPr>
  </w:style>
  <w:style w:type="paragraph" w:styleId="Corpsdetexte2">
    <w:name w:val="Body Text 2"/>
    <w:basedOn w:val="Normal"/>
    <w:link w:val="Corpsdetexte2Car"/>
    <w:rsid w:val="005D2ABC"/>
    <w:rPr>
      <w:b/>
      <w:bCs/>
      <w:szCs w:val="24"/>
    </w:rPr>
  </w:style>
  <w:style w:type="character" w:customStyle="1" w:styleId="Corpsdetexte2Car">
    <w:name w:val="Corps de texte 2 Car"/>
    <w:link w:val="Corpsdetexte2"/>
    <w:rsid w:val="005D2ABC"/>
    <w:rPr>
      <w:b/>
      <w:bCs/>
      <w:sz w:val="24"/>
      <w:szCs w:val="24"/>
    </w:rPr>
  </w:style>
  <w:style w:type="character" w:styleId="Marquedecommentaire">
    <w:name w:val="annotation reference"/>
    <w:rsid w:val="00F92B91"/>
    <w:rPr>
      <w:sz w:val="16"/>
      <w:szCs w:val="16"/>
    </w:rPr>
  </w:style>
  <w:style w:type="paragraph" w:styleId="Objetducommentaire">
    <w:name w:val="annotation subject"/>
    <w:basedOn w:val="Commentaire"/>
    <w:next w:val="Commentaire"/>
    <w:link w:val="ObjetducommentaireCar"/>
    <w:rsid w:val="00F92B9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F92B91"/>
    <w:rPr>
      <w:rFonts w:ascii="Arial" w:hAnsi="Arial" w:cs="Arial"/>
      <w:b/>
      <w:bCs/>
    </w:rPr>
  </w:style>
  <w:style w:type="character" w:customStyle="1" w:styleId="ObjetducommentaireCar">
    <w:name w:val="Objet du commentaire Car"/>
    <w:basedOn w:val="CommentaireCar"/>
    <w:link w:val="Objetducommentaire"/>
    <w:rsid w:val="00F92B91"/>
    <w:rPr>
      <w:rFonts w:ascii="Arial" w:hAnsi="Arial" w:cs="Arial"/>
      <w:b/>
      <w:bCs/>
    </w:rPr>
  </w:style>
  <w:style w:type="paragraph" w:styleId="Textedebulles">
    <w:name w:val="Balloon Text"/>
    <w:basedOn w:val="Normal"/>
    <w:link w:val="TextedebullesCar"/>
    <w:rsid w:val="00F92B91"/>
    <w:rPr>
      <w:rFonts w:ascii="Tahoma" w:hAnsi="Tahoma" w:cs="Tahoma"/>
      <w:sz w:val="16"/>
      <w:szCs w:val="16"/>
    </w:rPr>
  </w:style>
  <w:style w:type="character" w:customStyle="1" w:styleId="TextedebullesCar">
    <w:name w:val="Texte de bulles Car"/>
    <w:link w:val="Textedebulles"/>
    <w:rsid w:val="00F92B91"/>
    <w:rPr>
      <w:rFonts w:ascii="Tahoma" w:hAnsi="Tahoma" w:cs="Tahoma"/>
      <w:sz w:val="16"/>
      <w:szCs w:val="16"/>
    </w:rPr>
  </w:style>
  <w:style w:type="character" w:customStyle="1" w:styleId="ctparagraphe">
    <w:name w:val="ct_paragraphe"/>
    <w:rsid w:val="002D64F0"/>
  </w:style>
  <w:style w:type="paragraph" w:styleId="NormalWeb">
    <w:name w:val="Normal (Web)"/>
    <w:basedOn w:val="Normal"/>
    <w:uiPriority w:val="99"/>
    <w:unhideWhenUsed/>
    <w:rsid w:val="002D64F0"/>
    <w:pPr>
      <w:spacing w:before="100" w:beforeAutospacing="1" w:after="100" w:afterAutospacing="1"/>
      <w:jc w:val="left"/>
    </w:pPr>
    <w:rPr>
      <w:szCs w:val="24"/>
    </w:rPr>
  </w:style>
  <w:style w:type="character" w:styleId="Lienhypertexte">
    <w:name w:val="Hyperlink"/>
    <w:uiPriority w:val="99"/>
    <w:unhideWhenUsed/>
    <w:rsid w:val="002D64F0"/>
    <w:rPr>
      <w:color w:val="0000FF"/>
      <w:u w:val="single"/>
    </w:rPr>
  </w:style>
  <w:style w:type="character" w:styleId="lev">
    <w:name w:val="Strong"/>
    <w:uiPriority w:val="22"/>
    <w:qFormat/>
    <w:rsid w:val="00A176B0"/>
    <w:rPr>
      <w:b/>
      <w:bCs/>
    </w:rPr>
  </w:style>
  <w:style w:type="character" w:customStyle="1" w:styleId="apple-converted-space">
    <w:name w:val="apple-converted-space"/>
    <w:rsid w:val="00A176B0"/>
  </w:style>
  <w:style w:type="paragraph" w:styleId="Paragraphedeliste">
    <w:name w:val="List Paragraph"/>
    <w:basedOn w:val="Normal"/>
    <w:uiPriority w:val="34"/>
    <w:qFormat/>
    <w:rsid w:val="00AB7E32"/>
    <w:pPr>
      <w:spacing w:before="480" w:line="276" w:lineRule="auto"/>
      <w:ind w:left="720"/>
      <w:contextualSpacing/>
      <w:jc w:val="left"/>
    </w:pPr>
    <w:rPr>
      <w:rFonts w:ascii="Calibri" w:eastAsia="Calibri" w:hAnsi="Calibri"/>
      <w:sz w:val="22"/>
      <w:lang w:eastAsia="en-US"/>
    </w:rPr>
  </w:style>
  <w:style w:type="character" w:customStyle="1" w:styleId="prix">
    <w:name w:val="prix"/>
    <w:rsid w:val="0030429D"/>
  </w:style>
  <w:style w:type="character" w:styleId="DfinitionHTML">
    <w:name w:val="HTML Definition"/>
    <w:uiPriority w:val="99"/>
    <w:unhideWhenUsed/>
    <w:rsid w:val="0030429D"/>
    <w:rPr>
      <w:i/>
      <w:iCs/>
    </w:rPr>
  </w:style>
  <w:style w:type="character" w:customStyle="1" w:styleId="PieddepageCar">
    <w:name w:val="Pied de page Car"/>
    <w:link w:val="Pieddepage"/>
    <w:uiPriority w:val="99"/>
    <w:rsid w:val="00ED4AAF"/>
    <w:rPr>
      <w:sz w:val="24"/>
      <w:szCs w:val="22"/>
    </w:rPr>
  </w:style>
  <w:style w:type="paragraph" w:customStyle="1" w:styleId="paragraphe-western">
    <w:name w:val="paragraphe-western"/>
    <w:basedOn w:val="Normal"/>
    <w:rsid w:val="00AD0AC9"/>
    <w:pPr>
      <w:spacing w:before="100" w:beforeAutospacing="1" w:after="100" w:afterAutospacing="1"/>
      <w:jc w:val="left"/>
    </w:pPr>
    <w:rPr>
      <w:szCs w:val="24"/>
    </w:rPr>
  </w:style>
  <w:style w:type="character" w:styleId="ExempleHTML">
    <w:name w:val="HTML Sample"/>
    <w:basedOn w:val="Policepardfaut"/>
    <w:uiPriority w:val="99"/>
    <w:unhideWhenUsed/>
    <w:rsid w:val="00130249"/>
    <w:rPr>
      <w:rFonts w:ascii="Courier New" w:eastAsia="Times New Roman" w:hAnsi="Courier New" w:cs="Courier New"/>
    </w:rPr>
  </w:style>
  <w:style w:type="paragraph" w:customStyle="1" w:styleId="niv1">
    <w:name w:val="niv1"/>
    <w:basedOn w:val="Normal"/>
    <w:rsid w:val="006C5EC7"/>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379326872">
      <w:bodyDiv w:val="1"/>
      <w:marLeft w:val="0"/>
      <w:marRight w:val="0"/>
      <w:marTop w:val="0"/>
      <w:marBottom w:val="0"/>
      <w:divBdr>
        <w:top w:val="none" w:sz="0" w:space="0" w:color="auto"/>
        <w:left w:val="none" w:sz="0" w:space="0" w:color="auto"/>
        <w:bottom w:val="none" w:sz="0" w:space="0" w:color="auto"/>
        <w:right w:val="none" w:sz="0" w:space="0" w:color="auto"/>
      </w:divBdr>
    </w:div>
    <w:div w:id="421487984">
      <w:bodyDiv w:val="1"/>
      <w:marLeft w:val="0"/>
      <w:marRight w:val="0"/>
      <w:marTop w:val="0"/>
      <w:marBottom w:val="0"/>
      <w:divBdr>
        <w:top w:val="none" w:sz="0" w:space="0" w:color="auto"/>
        <w:left w:val="none" w:sz="0" w:space="0" w:color="auto"/>
        <w:bottom w:val="none" w:sz="0" w:space="0" w:color="auto"/>
        <w:right w:val="none" w:sz="0" w:space="0" w:color="auto"/>
      </w:divBdr>
    </w:div>
    <w:div w:id="1068921620">
      <w:bodyDiv w:val="1"/>
      <w:marLeft w:val="0"/>
      <w:marRight w:val="0"/>
      <w:marTop w:val="0"/>
      <w:marBottom w:val="0"/>
      <w:divBdr>
        <w:top w:val="none" w:sz="0" w:space="0" w:color="auto"/>
        <w:left w:val="none" w:sz="0" w:space="0" w:color="auto"/>
        <w:bottom w:val="none" w:sz="0" w:space="0" w:color="auto"/>
        <w:right w:val="none" w:sz="0" w:space="0" w:color="auto"/>
      </w:divBdr>
      <w:divsChild>
        <w:div w:id="101463885">
          <w:marLeft w:val="0"/>
          <w:marRight w:val="0"/>
          <w:marTop w:val="0"/>
          <w:marBottom w:val="0"/>
          <w:divBdr>
            <w:top w:val="none" w:sz="0" w:space="0" w:color="auto"/>
            <w:left w:val="none" w:sz="0" w:space="0" w:color="auto"/>
            <w:bottom w:val="none" w:sz="0" w:space="0" w:color="auto"/>
            <w:right w:val="none" w:sz="0" w:space="0" w:color="auto"/>
          </w:divBdr>
        </w:div>
        <w:div w:id="122113805">
          <w:marLeft w:val="0"/>
          <w:marRight w:val="0"/>
          <w:marTop w:val="0"/>
          <w:marBottom w:val="0"/>
          <w:divBdr>
            <w:top w:val="none" w:sz="0" w:space="0" w:color="auto"/>
            <w:left w:val="none" w:sz="0" w:space="0" w:color="auto"/>
            <w:bottom w:val="none" w:sz="0" w:space="0" w:color="auto"/>
            <w:right w:val="none" w:sz="0" w:space="0" w:color="auto"/>
          </w:divBdr>
        </w:div>
        <w:div w:id="129909181">
          <w:marLeft w:val="0"/>
          <w:marRight w:val="0"/>
          <w:marTop w:val="0"/>
          <w:marBottom w:val="0"/>
          <w:divBdr>
            <w:top w:val="none" w:sz="0" w:space="0" w:color="auto"/>
            <w:left w:val="none" w:sz="0" w:space="0" w:color="auto"/>
            <w:bottom w:val="none" w:sz="0" w:space="0" w:color="auto"/>
            <w:right w:val="none" w:sz="0" w:space="0" w:color="auto"/>
          </w:divBdr>
        </w:div>
        <w:div w:id="165095579">
          <w:marLeft w:val="0"/>
          <w:marRight w:val="0"/>
          <w:marTop w:val="0"/>
          <w:marBottom w:val="0"/>
          <w:divBdr>
            <w:top w:val="none" w:sz="0" w:space="0" w:color="auto"/>
            <w:left w:val="none" w:sz="0" w:space="0" w:color="auto"/>
            <w:bottom w:val="none" w:sz="0" w:space="0" w:color="auto"/>
            <w:right w:val="none" w:sz="0" w:space="0" w:color="auto"/>
          </w:divBdr>
        </w:div>
        <w:div w:id="223300076">
          <w:marLeft w:val="0"/>
          <w:marRight w:val="0"/>
          <w:marTop w:val="0"/>
          <w:marBottom w:val="0"/>
          <w:divBdr>
            <w:top w:val="none" w:sz="0" w:space="0" w:color="auto"/>
            <w:left w:val="none" w:sz="0" w:space="0" w:color="auto"/>
            <w:bottom w:val="none" w:sz="0" w:space="0" w:color="auto"/>
            <w:right w:val="none" w:sz="0" w:space="0" w:color="auto"/>
          </w:divBdr>
        </w:div>
        <w:div w:id="460079945">
          <w:marLeft w:val="0"/>
          <w:marRight w:val="0"/>
          <w:marTop w:val="0"/>
          <w:marBottom w:val="0"/>
          <w:divBdr>
            <w:top w:val="none" w:sz="0" w:space="0" w:color="auto"/>
            <w:left w:val="none" w:sz="0" w:space="0" w:color="auto"/>
            <w:bottom w:val="none" w:sz="0" w:space="0" w:color="auto"/>
            <w:right w:val="none" w:sz="0" w:space="0" w:color="auto"/>
          </w:divBdr>
        </w:div>
        <w:div w:id="530649727">
          <w:marLeft w:val="0"/>
          <w:marRight w:val="0"/>
          <w:marTop w:val="0"/>
          <w:marBottom w:val="0"/>
          <w:divBdr>
            <w:top w:val="none" w:sz="0" w:space="0" w:color="auto"/>
            <w:left w:val="none" w:sz="0" w:space="0" w:color="auto"/>
            <w:bottom w:val="none" w:sz="0" w:space="0" w:color="auto"/>
            <w:right w:val="none" w:sz="0" w:space="0" w:color="auto"/>
          </w:divBdr>
        </w:div>
        <w:div w:id="536816216">
          <w:marLeft w:val="0"/>
          <w:marRight w:val="0"/>
          <w:marTop w:val="0"/>
          <w:marBottom w:val="0"/>
          <w:divBdr>
            <w:top w:val="none" w:sz="0" w:space="0" w:color="auto"/>
            <w:left w:val="none" w:sz="0" w:space="0" w:color="auto"/>
            <w:bottom w:val="none" w:sz="0" w:space="0" w:color="auto"/>
            <w:right w:val="none" w:sz="0" w:space="0" w:color="auto"/>
          </w:divBdr>
        </w:div>
        <w:div w:id="579752343">
          <w:marLeft w:val="0"/>
          <w:marRight w:val="0"/>
          <w:marTop w:val="0"/>
          <w:marBottom w:val="0"/>
          <w:divBdr>
            <w:top w:val="none" w:sz="0" w:space="0" w:color="auto"/>
            <w:left w:val="none" w:sz="0" w:space="0" w:color="auto"/>
            <w:bottom w:val="none" w:sz="0" w:space="0" w:color="auto"/>
            <w:right w:val="none" w:sz="0" w:space="0" w:color="auto"/>
          </w:divBdr>
        </w:div>
        <w:div w:id="623275366">
          <w:marLeft w:val="0"/>
          <w:marRight w:val="0"/>
          <w:marTop w:val="0"/>
          <w:marBottom w:val="0"/>
          <w:divBdr>
            <w:top w:val="none" w:sz="0" w:space="0" w:color="auto"/>
            <w:left w:val="none" w:sz="0" w:space="0" w:color="auto"/>
            <w:bottom w:val="none" w:sz="0" w:space="0" w:color="auto"/>
            <w:right w:val="none" w:sz="0" w:space="0" w:color="auto"/>
          </w:divBdr>
        </w:div>
        <w:div w:id="655230859">
          <w:marLeft w:val="0"/>
          <w:marRight w:val="0"/>
          <w:marTop w:val="0"/>
          <w:marBottom w:val="0"/>
          <w:divBdr>
            <w:top w:val="none" w:sz="0" w:space="0" w:color="auto"/>
            <w:left w:val="none" w:sz="0" w:space="0" w:color="auto"/>
            <w:bottom w:val="none" w:sz="0" w:space="0" w:color="auto"/>
            <w:right w:val="none" w:sz="0" w:space="0" w:color="auto"/>
          </w:divBdr>
        </w:div>
        <w:div w:id="835729613">
          <w:marLeft w:val="0"/>
          <w:marRight w:val="0"/>
          <w:marTop w:val="0"/>
          <w:marBottom w:val="0"/>
          <w:divBdr>
            <w:top w:val="none" w:sz="0" w:space="0" w:color="auto"/>
            <w:left w:val="none" w:sz="0" w:space="0" w:color="auto"/>
            <w:bottom w:val="none" w:sz="0" w:space="0" w:color="auto"/>
            <w:right w:val="none" w:sz="0" w:space="0" w:color="auto"/>
          </w:divBdr>
        </w:div>
        <w:div w:id="1157770824">
          <w:marLeft w:val="0"/>
          <w:marRight w:val="0"/>
          <w:marTop w:val="0"/>
          <w:marBottom w:val="0"/>
          <w:divBdr>
            <w:top w:val="none" w:sz="0" w:space="0" w:color="auto"/>
            <w:left w:val="none" w:sz="0" w:space="0" w:color="auto"/>
            <w:bottom w:val="none" w:sz="0" w:space="0" w:color="auto"/>
            <w:right w:val="none" w:sz="0" w:space="0" w:color="auto"/>
          </w:divBdr>
        </w:div>
        <w:div w:id="1296761587">
          <w:marLeft w:val="0"/>
          <w:marRight w:val="0"/>
          <w:marTop w:val="0"/>
          <w:marBottom w:val="0"/>
          <w:divBdr>
            <w:top w:val="none" w:sz="0" w:space="0" w:color="auto"/>
            <w:left w:val="none" w:sz="0" w:space="0" w:color="auto"/>
            <w:bottom w:val="none" w:sz="0" w:space="0" w:color="auto"/>
            <w:right w:val="none" w:sz="0" w:space="0" w:color="auto"/>
          </w:divBdr>
        </w:div>
        <w:div w:id="1338193606">
          <w:marLeft w:val="0"/>
          <w:marRight w:val="0"/>
          <w:marTop w:val="0"/>
          <w:marBottom w:val="0"/>
          <w:divBdr>
            <w:top w:val="none" w:sz="0" w:space="0" w:color="auto"/>
            <w:left w:val="none" w:sz="0" w:space="0" w:color="auto"/>
            <w:bottom w:val="none" w:sz="0" w:space="0" w:color="auto"/>
            <w:right w:val="none" w:sz="0" w:space="0" w:color="auto"/>
          </w:divBdr>
        </w:div>
        <w:div w:id="1483497692">
          <w:marLeft w:val="0"/>
          <w:marRight w:val="0"/>
          <w:marTop w:val="0"/>
          <w:marBottom w:val="0"/>
          <w:divBdr>
            <w:top w:val="none" w:sz="0" w:space="0" w:color="auto"/>
            <w:left w:val="none" w:sz="0" w:space="0" w:color="auto"/>
            <w:bottom w:val="none" w:sz="0" w:space="0" w:color="auto"/>
            <w:right w:val="none" w:sz="0" w:space="0" w:color="auto"/>
          </w:divBdr>
        </w:div>
        <w:div w:id="1500192657">
          <w:marLeft w:val="0"/>
          <w:marRight w:val="0"/>
          <w:marTop w:val="0"/>
          <w:marBottom w:val="0"/>
          <w:divBdr>
            <w:top w:val="none" w:sz="0" w:space="0" w:color="auto"/>
            <w:left w:val="none" w:sz="0" w:space="0" w:color="auto"/>
            <w:bottom w:val="none" w:sz="0" w:space="0" w:color="auto"/>
            <w:right w:val="none" w:sz="0" w:space="0" w:color="auto"/>
          </w:divBdr>
        </w:div>
        <w:div w:id="1516269906">
          <w:marLeft w:val="0"/>
          <w:marRight w:val="0"/>
          <w:marTop w:val="0"/>
          <w:marBottom w:val="0"/>
          <w:divBdr>
            <w:top w:val="none" w:sz="0" w:space="0" w:color="auto"/>
            <w:left w:val="none" w:sz="0" w:space="0" w:color="auto"/>
            <w:bottom w:val="none" w:sz="0" w:space="0" w:color="auto"/>
            <w:right w:val="none" w:sz="0" w:space="0" w:color="auto"/>
          </w:divBdr>
        </w:div>
        <w:div w:id="1868441472">
          <w:marLeft w:val="0"/>
          <w:marRight w:val="0"/>
          <w:marTop w:val="0"/>
          <w:marBottom w:val="0"/>
          <w:divBdr>
            <w:top w:val="none" w:sz="0" w:space="0" w:color="auto"/>
            <w:left w:val="none" w:sz="0" w:space="0" w:color="auto"/>
            <w:bottom w:val="none" w:sz="0" w:space="0" w:color="auto"/>
            <w:right w:val="none" w:sz="0" w:space="0" w:color="auto"/>
          </w:divBdr>
        </w:div>
        <w:div w:id="1922057426">
          <w:marLeft w:val="0"/>
          <w:marRight w:val="0"/>
          <w:marTop w:val="0"/>
          <w:marBottom w:val="0"/>
          <w:divBdr>
            <w:top w:val="none" w:sz="0" w:space="0" w:color="auto"/>
            <w:left w:val="none" w:sz="0" w:space="0" w:color="auto"/>
            <w:bottom w:val="none" w:sz="0" w:space="0" w:color="auto"/>
            <w:right w:val="none" w:sz="0" w:space="0" w:color="auto"/>
          </w:divBdr>
        </w:div>
        <w:div w:id="1944530165">
          <w:marLeft w:val="0"/>
          <w:marRight w:val="0"/>
          <w:marTop w:val="0"/>
          <w:marBottom w:val="0"/>
          <w:divBdr>
            <w:top w:val="none" w:sz="0" w:space="0" w:color="auto"/>
            <w:left w:val="none" w:sz="0" w:space="0" w:color="auto"/>
            <w:bottom w:val="none" w:sz="0" w:space="0" w:color="auto"/>
            <w:right w:val="none" w:sz="0" w:space="0" w:color="auto"/>
          </w:divBdr>
        </w:div>
        <w:div w:id="2014381026">
          <w:marLeft w:val="0"/>
          <w:marRight w:val="0"/>
          <w:marTop w:val="0"/>
          <w:marBottom w:val="0"/>
          <w:divBdr>
            <w:top w:val="none" w:sz="0" w:space="0" w:color="auto"/>
            <w:left w:val="none" w:sz="0" w:space="0" w:color="auto"/>
            <w:bottom w:val="none" w:sz="0" w:space="0" w:color="auto"/>
            <w:right w:val="none" w:sz="0" w:space="0" w:color="auto"/>
          </w:divBdr>
        </w:div>
        <w:div w:id="2061979650">
          <w:marLeft w:val="0"/>
          <w:marRight w:val="0"/>
          <w:marTop w:val="0"/>
          <w:marBottom w:val="0"/>
          <w:divBdr>
            <w:top w:val="none" w:sz="0" w:space="0" w:color="auto"/>
            <w:left w:val="none" w:sz="0" w:space="0" w:color="auto"/>
            <w:bottom w:val="none" w:sz="0" w:space="0" w:color="auto"/>
            <w:right w:val="none" w:sz="0" w:space="0" w:color="auto"/>
          </w:divBdr>
        </w:div>
        <w:div w:id="2108647294">
          <w:marLeft w:val="0"/>
          <w:marRight w:val="0"/>
          <w:marTop w:val="0"/>
          <w:marBottom w:val="0"/>
          <w:divBdr>
            <w:top w:val="none" w:sz="0" w:space="0" w:color="auto"/>
            <w:left w:val="none" w:sz="0" w:space="0" w:color="auto"/>
            <w:bottom w:val="none" w:sz="0" w:space="0" w:color="auto"/>
            <w:right w:val="none" w:sz="0" w:space="0" w:color="auto"/>
          </w:divBdr>
        </w:div>
        <w:div w:id="2145346441">
          <w:marLeft w:val="0"/>
          <w:marRight w:val="0"/>
          <w:marTop w:val="0"/>
          <w:marBottom w:val="0"/>
          <w:divBdr>
            <w:top w:val="none" w:sz="0" w:space="0" w:color="auto"/>
            <w:left w:val="none" w:sz="0" w:space="0" w:color="auto"/>
            <w:bottom w:val="none" w:sz="0" w:space="0" w:color="auto"/>
            <w:right w:val="none" w:sz="0" w:space="0" w:color="auto"/>
          </w:divBdr>
        </w:div>
      </w:divsChild>
    </w:div>
    <w:div w:id="1339310396">
      <w:bodyDiv w:val="1"/>
      <w:marLeft w:val="0"/>
      <w:marRight w:val="0"/>
      <w:marTop w:val="0"/>
      <w:marBottom w:val="0"/>
      <w:divBdr>
        <w:top w:val="none" w:sz="0" w:space="0" w:color="auto"/>
        <w:left w:val="none" w:sz="0" w:space="0" w:color="auto"/>
        <w:bottom w:val="none" w:sz="0" w:space="0" w:color="auto"/>
        <w:right w:val="none" w:sz="0" w:space="0" w:color="auto"/>
      </w:divBdr>
    </w:div>
    <w:div w:id="1436513995">
      <w:bodyDiv w:val="1"/>
      <w:marLeft w:val="0"/>
      <w:marRight w:val="0"/>
      <w:marTop w:val="0"/>
      <w:marBottom w:val="0"/>
      <w:divBdr>
        <w:top w:val="none" w:sz="0" w:space="0" w:color="auto"/>
        <w:left w:val="none" w:sz="0" w:space="0" w:color="auto"/>
        <w:bottom w:val="none" w:sz="0" w:space="0" w:color="auto"/>
        <w:right w:val="none" w:sz="0" w:space="0" w:color="auto"/>
      </w:divBdr>
      <w:divsChild>
        <w:div w:id="469983631">
          <w:marLeft w:val="975"/>
          <w:marRight w:val="0"/>
          <w:marTop w:val="0"/>
          <w:marBottom w:val="0"/>
          <w:divBdr>
            <w:top w:val="none" w:sz="0" w:space="0" w:color="auto"/>
            <w:left w:val="none" w:sz="0" w:space="0" w:color="auto"/>
            <w:bottom w:val="none" w:sz="0" w:space="0" w:color="auto"/>
            <w:right w:val="none" w:sz="0" w:space="0" w:color="auto"/>
          </w:divBdr>
        </w:div>
        <w:div w:id="902957639">
          <w:marLeft w:val="975"/>
          <w:marRight w:val="0"/>
          <w:marTop w:val="0"/>
          <w:marBottom w:val="0"/>
          <w:divBdr>
            <w:top w:val="none" w:sz="0" w:space="0" w:color="auto"/>
            <w:left w:val="none" w:sz="0" w:space="0" w:color="auto"/>
            <w:bottom w:val="none" w:sz="0" w:space="0" w:color="auto"/>
            <w:right w:val="none" w:sz="0" w:space="0" w:color="auto"/>
          </w:divBdr>
        </w:div>
        <w:div w:id="1009717732">
          <w:marLeft w:val="0"/>
          <w:marRight w:val="75"/>
          <w:marTop w:val="225"/>
          <w:marBottom w:val="0"/>
          <w:divBdr>
            <w:top w:val="none" w:sz="0" w:space="0" w:color="auto"/>
            <w:left w:val="none" w:sz="0" w:space="0" w:color="auto"/>
            <w:bottom w:val="none" w:sz="0" w:space="0" w:color="auto"/>
            <w:right w:val="none" w:sz="0" w:space="0" w:color="auto"/>
          </w:divBdr>
        </w:div>
        <w:div w:id="1458526195">
          <w:marLeft w:val="975"/>
          <w:marRight w:val="0"/>
          <w:marTop w:val="0"/>
          <w:marBottom w:val="0"/>
          <w:divBdr>
            <w:top w:val="none" w:sz="0" w:space="0" w:color="auto"/>
            <w:left w:val="none" w:sz="0" w:space="0" w:color="auto"/>
            <w:bottom w:val="none" w:sz="0" w:space="0" w:color="auto"/>
            <w:right w:val="none" w:sz="0" w:space="0" w:color="auto"/>
          </w:divBdr>
        </w:div>
        <w:div w:id="1470244721">
          <w:marLeft w:val="975"/>
          <w:marRight w:val="0"/>
          <w:marTop w:val="0"/>
          <w:marBottom w:val="0"/>
          <w:divBdr>
            <w:top w:val="none" w:sz="0" w:space="0" w:color="auto"/>
            <w:left w:val="none" w:sz="0" w:space="0" w:color="auto"/>
            <w:bottom w:val="none" w:sz="0" w:space="0" w:color="auto"/>
            <w:right w:val="none" w:sz="0" w:space="0" w:color="auto"/>
          </w:divBdr>
        </w:div>
      </w:divsChild>
    </w:div>
    <w:div w:id="19596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3C13C-B205-4CB5-9A7D-5A4FF2C2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1632</Words>
  <Characters>8979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10590</CharactersWithSpaces>
  <SharedDoc>false</SharedDoc>
  <HLinks>
    <vt:vector size="6" baseType="variant">
      <vt:variant>
        <vt:i4>3211328</vt:i4>
      </vt:variant>
      <vt:variant>
        <vt:i4>0</vt:i4>
      </vt:variant>
      <vt:variant>
        <vt:i4>0</vt:i4>
      </vt:variant>
      <vt:variant>
        <vt:i4>5</vt:i4>
      </vt:variant>
      <vt:variant>
        <vt:lpwstr>http://revuefiduciaire.grouperf.com/lien_spad/?base=LEGI&amp;orig=REVUE_RF_FH&amp;code=LEGITEXT000006069577&amp;numero=238%20bis&amp;idspad=LEGIARTI000025515860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dc:creator>
  <cp:lastModifiedBy>François</cp:lastModifiedBy>
  <cp:revision>3</cp:revision>
  <cp:lastPrinted>2016-03-18T07:39:00Z</cp:lastPrinted>
  <dcterms:created xsi:type="dcterms:W3CDTF">2016-10-09T11:23:00Z</dcterms:created>
  <dcterms:modified xsi:type="dcterms:W3CDTF">2016-10-09T11:23:00Z</dcterms:modified>
</cp:coreProperties>
</file>